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75DD42A" w:rsidR="00104EFB" w:rsidRPr="00DD4B12"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w:t>
        </w:r>
        <w:r w:rsidR="00C807DB">
          <w:rPr>
            <w:b/>
            <w:noProof/>
            <w:sz w:val="24"/>
          </w:rPr>
          <w:t>bis-</w:t>
        </w:r>
        <w:r>
          <w:rPr>
            <w:b/>
            <w:noProof/>
            <w:sz w:val="24"/>
          </w:rPr>
          <w:t>e</w:t>
        </w:r>
      </w:fldSimple>
      <w:r>
        <w:rPr>
          <w:b/>
          <w:i/>
          <w:noProof/>
          <w:sz w:val="28"/>
        </w:rPr>
        <w:tab/>
      </w:r>
      <w:r w:rsidR="00DD4B12" w:rsidRPr="00DD4B12">
        <w:rPr>
          <w:b/>
          <w:noProof/>
          <w:sz w:val="24"/>
          <w:lang w:val="en-CN"/>
        </w:rPr>
        <w:t>R4-2104856</w:t>
      </w:r>
    </w:p>
    <w:p w14:paraId="726A9933" w14:textId="63A28BB8" w:rsidR="00104EFB" w:rsidRDefault="00894012"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6AEA8ED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61EAD">
        <w:rPr>
          <w:rFonts w:ascii="Arial" w:hAnsi="Arial" w:cs="Arial"/>
          <w:b/>
          <w:sz w:val="22"/>
          <w:szCs w:val="22"/>
        </w:rPr>
        <w:t>8.5.2.</w:t>
      </w:r>
      <w:r w:rsidR="00064E3A">
        <w:rPr>
          <w:rFonts w:ascii="Arial" w:hAnsi="Arial" w:cs="Arial"/>
          <w:b/>
          <w:sz w:val="22"/>
          <w:szCs w:val="22"/>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F61191E"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064E3A" w:rsidRPr="00064E3A">
        <w:rPr>
          <w:rFonts w:ascii="Arial" w:hAnsi="Arial" w:cs="Arial"/>
          <w:b/>
          <w:sz w:val="22"/>
          <w:szCs w:val="22"/>
          <w:lang w:val="en-CN"/>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44A6E4A" w:rsidR="000D5DC6" w:rsidRPr="00116631" w:rsidRDefault="00CA0B7B" w:rsidP="00CA0B7B">
      <w:pPr>
        <w:rPr>
          <w:lang w:val="en-CN"/>
        </w:rPr>
      </w:pPr>
      <w:r w:rsidRPr="00CA0B7B">
        <w:t xml:space="preserve">In RAN4#98e RAN4 had initial discussion on </w:t>
      </w:r>
      <w:r w:rsidR="0019377D" w:rsidRPr="0019377D">
        <w:rPr>
          <w:lang w:val="en-CN"/>
        </w:rPr>
        <w:t>network controlled small gap</w:t>
      </w:r>
      <w:r w:rsidRPr="00CA0B7B">
        <w:t>, with agreement and open issues captured in the approved WF [1].</w:t>
      </w:r>
      <w:r w:rsidR="00116631">
        <w:rPr>
          <w:lang w:val="en-US"/>
        </w:rPr>
        <w:t xml:space="preserve"> </w:t>
      </w:r>
      <w:r w:rsidR="000D5DC6">
        <w:t xml:space="preserve">In this contribution, </w:t>
      </w:r>
      <w:r w:rsidR="00CB1B8B">
        <w:t xml:space="preserve">we </w:t>
      </w:r>
      <w:r>
        <w:t xml:space="preserve">provide further discussion on </w:t>
      </w:r>
      <w:r w:rsidR="00585D2B">
        <w:t>the open issues</w:t>
      </w:r>
      <w:r>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2324CE4" w14:textId="2C703587" w:rsidR="00CD0F74" w:rsidRDefault="003F1E79" w:rsidP="00524F48">
      <w:pPr>
        <w:pStyle w:val="Caption"/>
        <w:rPr>
          <w:b w:val="0"/>
          <w:bCs w:val="0"/>
          <w:lang w:val="en-US" w:eastAsia="zh-CN"/>
        </w:rPr>
      </w:pPr>
      <w:r>
        <w:rPr>
          <w:b w:val="0"/>
          <w:bCs w:val="0"/>
          <w:lang w:val="en-US" w:eastAsia="zh-CN"/>
        </w:rPr>
        <w:t>The first issue is about the scenario and use case:</w:t>
      </w:r>
    </w:p>
    <w:p w14:paraId="3BA8E506" w14:textId="77777777" w:rsidR="003F1E79" w:rsidRPr="003F1E79" w:rsidRDefault="003F1E79" w:rsidP="003F1E79">
      <w:pPr>
        <w:numPr>
          <w:ilvl w:val="0"/>
          <w:numId w:val="32"/>
        </w:numPr>
        <w:rPr>
          <w:lang w:val="en-CN" w:eastAsia="zh-CN"/>
        </w:rPr>
      </w:pPr>
      <w:r w:rsidRPr="003F1E79">
        <w:rPr>
          <w:lang w:val="en-US" w:eastAsia="zh-CN"/>
        </w:rPr>
        <w:t>The use cases of NR NCSG can be similar as these of LTE</w:t>
      </w:r>
    </w:p>
    <w:p w14:paraId="5966F8CF" w14:textId="77777777" w:rsidR="003F1E79" w:rsidRPr="003F1E79" w:rsidRDefault="003F1E79" w:rsidP="003F1E79">
      <w:pPr>
        <w:numPr>
          <w:ilvl w:val="1"/>
          <w:numId w:val="32"/>
        </w:numPr>
        <w:rPr>
          <w:lang w:val="en-CN" w:eastAsia="zh-CN"/>
        </w:rPr>
      </w:pPr>
      <w:r w:rsidRPr="003F1E79">
        <w:rPr>
          <w:lang w:val="en-US" w:eastAsia="zh-CN"/>
        </w:rPr>
        <w:t>The specific use cases can be FFS</w:t>
      </w:r>
    </w:p>
    <w:p w14:paraId="5E641109" w14:textId="77777777" w:rsidR="003F1E79" w:rsidRPr="003F1E79" w:rsidRDefault="003F1E79" w:rsidP="003F1E79">
      <w:pPr>
        <w:numPr>
          <w:ilvl w:val="1"/>
          <w:numId w:val="32"/>
        </w:numPr>
        <w:rPr>
          <w:lang w:val="en-CN" w:eastAsia="zh-CN"/>
        </w:rPr>
      </w:pPr>
      <w:r w:rsidRPr="003F1E79">
        <w:rPr>
          <w:lang w:val="en-US" w:eastAsia="zh-CN"/>
        </w:rPr>
        <w:t>Whether the usage of per-CC gap can be FFS</w:t>
      </w:r>
    </w:p>
    <w:p w14:paraId="3FEE7F6E" w14:textId="77777777" w:rsidR="003F1E79" w:rsidRPr="003F1E79" w:rsidRDefault="003F1E79" w:rsidP="003F1E79">
      <w:pPr>
        <w:numPr>
          <w:ilvl w:val="0"/>
          <w:numId w:val="32"/>
        </w:numPr>
        <w:rPr>
          <w:lang w:val="en-CN" w:eastAsia="zh-CN"/>
        </w:rPr>
      </w:pPr>
      <w:r w:rsidRPr="003F1E79">
        <w:rPr>
          <w:lang w:val="en-US" w:eastAsia="zh-CN"/>
        </w:rPr>
        <w:t>NCSG supports both synchronous/asynchronous operation</w:t>
      </w:r>
    </w:p>
    <w:p w14:paraId="3B9B6DC9" w14:textId="77777777" w:rsidR="003F1E79" w:rsidRPr="003F1E79" w:rsidRDefault="003F1E79" w:rsidP="003F1E79">
      <w:pPr>
        <w:numPr>
          <w:ilvl w:val="1"/>
          <w:numId w:val="32"/>
        </w:numPr>
        <w:rPr>
          <w:lang w:val="en-CN" w:eastAsia="zh-CN"/>
        </w:rPr>
      </w:pPr>
      <w:r w:rsidRPr="003F1E79">
        <w:rPr>
          <w:lang w:val="en-US" w:eastAsia="zh-CN"/>
        </w:rPr>
        <w:t>FFS on whether to define separate NCSG patterns for sync and async needs more discussion</w:t>
      </w:r>
    </w:p>
    <w:p w14:paraId="380ED185" w14:textId="60A650FD" w:rsidR="003F1E79" w:rsidRDefault="00D141B3" w:rsidP="003F1E79">
      <w:pPr>
        <w:rPr>
          <w:lang w:val="en-US" w:eastAsia="zh-CN"/>
        </w:rPr>
      </w:pPr>
      <w:r>
        <w:rPr>
          <w:lang w:val="en-US" w:eastAsia="zh-CN"/>
        </w:rPr>
        <w:t>Note that scenario and use case wouldn’t be necessarily captured in our specification. However, having common understanding on it and keeping it in mind can help people concentrating the discussion.</w:t>
      </w:r>
      <w:r w:rsidR="002B58D4">
        <w:rPr>
          <w:lang w:val="en-US" w:eastAsia="zh-CN"/>
        </w:rPr>
        <w:t xml:space="preserve"> A straightforward use case is to allow UE </w:t>
      </w:r>
      <w:r w:rsidR="00B64653">
        <w:rPr>
          <w:lang w:val="en-US" w:eastAsia="zh-CN"/>
        </w:rPr>
        <w:t>to use</w:t>
      </w:r>
      <w:r w:rsidR="002B58D4">
        <w:rPr>
          <w:lang w:val="en-US" w:eastAsia="zh-CN"/>
        </w:rPr>
        <w:t xml:space="preserve"> spare RF chain to perform some inter-frequency measurement.</w:t>
      </w:r>
      <w:r w:rsidR="00B64653">
        <w:rPr>
          <w:lang w:val="en-US" w:eastAsia="zh-CN"/>
        </w:rPr>
        <w:t xml:space="preserve"> The scope can also be extended to cover the scenario that UE is configured to perform measurement on adjacent channels, wherein UE may be able to use the same RF chain to measure serving and neighbor cells. UE needs to retune the RF chain, enlarge the bandwidth to cover both channels.</w:t>
      </w:r>
      <w:r w:rsidR="00E87706">
        <w:rPr>
          <w:lang w:val="en-US" w:eastAsia="zh-CN"/>
        </w:rPr>
        <w:t xml:space="preserve"> Note that from RAN4 requirement perspective,</w:t>
      </w:r>
      <w:r w:rsidR="00C77749">
        <w:rPr>
          <w:lang w:val="en-US" w:eastAsia="zh-CN"/>
        </w:rPr>
        <w:t xml:space="preserve"> probably same requirements can apply to both use cases.</w:t>
      </w:r>
    </w:p>
    <w:p w14:paraId="3D7C4996" w14:textId="5A617203" w:rsidR="00733274" w:rsidRDefault="00790A02" w:rsidP="003F1E79">
      <w:pPr>
        <w:rPr>
          <w:lang w:val="en-US" w:eastAsia="zh-CN"/>
        </w:rPr>
      </w:pPr>
      <w:r>
        <w:rPr>
          <w:lang w:val="en-US" w:eastAsia="zh-CN"/>
        </w:rPr>
        <w:t xml:space="preserve">As for per-CC gap, we prefer not to introduce this concept in this WI. On one hand, currently it is not in the WI scope. on the other hand, we are seeking the possibility to </w:t>
      </w:r>
      <w:r w:rsidR="00350068">
        <w:rPr>
          <w:lang w:val="en-US" w:eastAsia="zh-CN"/>
        </w:rPr>
        <w:t>use</w:t>
      </w:r>
      <w:r>
        <w:rPr>
          <w:lang w:val="en-US" w:eastAsia="zh-CN"/>
        </w:rPr>
        <w:t xml:space="preserve"> NeedForGap</w:t>
      </w:r>
      <w:r w:rsidR="00E770DE">
        <w:rPr>
          <w:lang w:val="en-US" w:eastAsia="zh-CN"/>
        </w:rPr>
        <w:t xml:space="preserve"> signaling design</w:t>
      </w:r>
      <w:r w:rsidR="00350068">
        <w:rPr>
          <w:lang w:val="en-US" w:eastAsia="zh-CN"/>
        </w:rPr>
        <w:t xml:space="preserve"> as baseline</w:t>
      </w:r>
      <w:r w:rsidR="00E770DE">
        <w:rPr>
          <w:lang w:val="en-US" w:eastAsia="zh-CN"/>
        </w:rPr>
        <w:t>,</w:t>
      </w:r>
      <w:r>
        <w:rPr>
          <w:lang w:val="en-US" w:eastAsia="zh-CN"/>
        </w:rPr>
        <w:t xml:space="preserve"> which was introduced in R16</w:t>
      </w:r>
      <w:r w:rsidR="004564F8">
        <w:rPr>
          <w:lang w:val="en-US" w:eastAsia="zh-CN"/>
        </w:rPr>
        <w:t xml:space="preserve">, </w:t>
      </w:r>
      <w:r w:rsidR="00350068">
        <w:rPr>
          <w:lang w:val="en-US" w:eastAsia="zh-CN"/>
        </w:rPr>
        <w:t>and add necessary IEs if any</w:t>
      </w:r>
      <w:r w:rsidR="00E770DE">
        <w:rPr>
          <w:lang w:val="en-US" w:eastAsia="zh-CN"/>
        </w:rPr>
        <w:t>. Note that</w:t>
      </w:r>
      <w:r w:rsidR="004564F8">
        <w:rPr>
          <w:lang w:val="en-US" w:eastAsia="zh-CN"/>
        </w:rPr>
        <w:t xml:space="preserve"> per-CC gap is not supported in NeedForGap signaling design.</w:t>
      </w:r>
      <w:r>
        <w:rPr>
          <w:lang w:val="en-US" w:eastAsia="zh-CN"/>
        </w:rPr>
        <w:t xml:space="preserve"> In current specification </w:t>
      </w:r>
      <w:r w:rsidR="00614339">
        <w:rPr>
          <w:lang w:val="en-US" w:eastAsia="zh-CN"/>
        </w:rPr>
        <w:t>there is no interruption requirement defined for NeedForGap. It is unclear that whether UE would cause interruption during measurement of target cell if UE indicates support of NeedForGap for that BC</w:t>
      </w:r>
      <w:r w:rsidR="004564F8">
        <w:rPr>
          <w:lang w:val="en-US" w:eastAsia="zh-CN"/>
        </w:rPr>
        <w:t xml:space="preserve"> due to RF retuning. </w:t>
      </w:r>
      <w:r w:rsidR="00733274">
        <w:rPr>
          <w:lang w:val="en-US" w:eastAsia="zh-CN"/>
        </w:rPr>
        <w:t>NCSG requirements can make NCSG more complete.</w:t>
      </w:r>
    </w:p>
    <w:p w14:paraId="5CD9AB19" w14:textId="60ED3401" w:rsidR="00790A02" w:rsidRDefault="00733274" w:rsidP="003F1E79">
      <w:pPr>
        <w:rPr>
          <w:snapToGrid w:val="0"/>
          <w:lang w:eastAsia="ko-KR"/>
        </w:rPr>
      </w:pPr>
      <w:r>
        <w:rPr>
          <w:lang w:val="en-US" w:eastAsia="zh-CN"/>
        </w:rPr>
        <w:t>As for sync and async operation, we</w:t>
      </w:r>
      <w:r w:rsidR="003F1C56">
        <w:rPr>
          <w:lang w:val="en-US" w:eastAsia="zh-CN"/>
        </w:rPr>
        <w:t xml:space="preserve"> don’t think it is necessary to limit the use case to sync scenario only.</w:t>
      </w:r>
      <w:r w:rsidR="00C20EE0">
        <w:rPr>
          <w:lang w:val="en-US" w:eastAsia="zh-CN"/>
        </w:rPr>
        <w:t xml:space="preserve"> Regarding pattern design, we can either explicitly define NCSG patterns in a new table or simply reuse the existing gap pattern table but define new interruption requirements (similar with </w:t>
      </w:r>
      <w:r w:rsidR="00C20EE0" w:rsidRPr="009C5807">
        <w:rPr>
          <w:snapToGrid w:val="0"/>
        </w:rPr>
        <w:t xml:space="preserve">Table </w:t>
      </w:r>
      <w:r w:rsidR="00C20EE0" w:rsidRPr="009C5807">
        <w:rPr>
          <w:snapToGrid w:val="0"/>
          <w:lang w:eastAsia="ko-KR"/>
        </w:rPr>
        <w:t>9.1.2</w:t>
      </w:r>
      <w:r w:rsidR="00C20EE0" w:rsidRPr="009C5807">
        <w:rPr>
          <w:snapToGrid w:val="0"/>
        </w:rPr>
        <w:t>-</w:t>
      </w:r>
      <w:r w:rsidR="00C20EE0" w:rsidRPr="009C5807">
        <w:rPr>
          <w:snapToGrid w:val="0"/>
          <w:lang w:eastAsia="ko-KR"/>
        </w:rPr>
        <w:t>4</w:t>
      </w:r>
      <w:r w:rsidR="00671275">
        <w:rPr>
          <w:snapToGrid w:val="0"/>
          <w:lang w:eastAsia="ko-KR"/>
        </w:rPr>
        <w:t xml:space="preserve">, </w:t>
      </w:r>
      <w:r w:rsidR="00671275" w:rsidRPr="009C5807">
        <w:rPr>
          <w:snapToGrid w:val="0"/>
          <w:lang w:eastAsia="ko-KR"/>
        </w:rPr>
        <w:t>9.1.2</w:t>
      </w:r>
      <w:r w:rsidR="00671275" w:rsidRPr="009C5807">
        <w:rPr>
          <w:snapToGrid w:val="0"/>
        </w:rPr>
        <w:t>-</w:t>
      </w:r>
      <w:r w:rsidR="00671275" w:rsidRPr="009C5807">
        <w:rPr>
          <w:snapToGrid w:val="0"/>
          <w:lang w:eastAsia="ko-KR"/>
        </w:rPr>
        <w:t>4</w:t>
      </w:r>
      <w:r w:rsidR="00671275">
        <w:rPr>
          <w:snapToGrid w:val="0"/>
          <w:lang w:eastAsia="ko-KR"/>
        </w:rPr>
        <w:t xml:space="preserve">a and </w:t>
      </w:r>
      <w:r w:rsidR="00671275" w:rsidRPr="009C5807">
        <w:rPr>
          <w:snapToGrid w:val="0"/>
          <w:lang w:eastAsia="ko-KR"/>
        </w:rPr>
        <w:t>9.1.2</w:t>
      </w:r>
      <w:r w:rsidR="00671275" w:rsidRPr="009C5807">
        <w:rPr>
          <w:snapToGrid w:val="0"/>
        </w:rPr>
        <w:t>-</w:t>
      </w:r>
      <w:r w:rsidR="00671275" w:rsidRPr="009C5807">
        <w:rPr>
          <w:snapToGrid w:val="0"/>
          <w:lang w:eastAsia="ko-KR"/>
        </w:rPr>
        <w:t>4</w:t>
      </w:r>
      <w:r w:rsidR="00671275">
        <w:rPr>
          <w:snapToGrid w:val="0"/>
          <w:lang w:eastAsia="ko-KR"/>
        </w:rPr>
        <w:t>b). If we are going to define new patterns for NCSG (consist of VIL, ML and VIRP), we may need to define different patterns for sync and async scenarios since VIL would be different. But if we are going to rely on existing gap pattern table and introduce new interruption table, then there is no need to introduce different patterns for sync and async cases. Different interruption requirements for sync and async can be reflected in the interruption table.</w:t>
      </w:r>
    </w:p>
    <w:p w14:paraId="06F0E34F" w14:textId="1F4335EE" w:rsidR="00E87706" w:rsidRDefault="00E87706" w:rsidP="00E87706">
      <w:pPr>
        <w:pStyle w:val="Caption"/>
      </w:pPr>
      <w:bookmarkStart w:id="2" w:name="_Ref68084648"/>
      <w:r>
        <w:t xml:space="preserve">Proposal </w:t>
      </w:r>
      <w:r>
        <w:fldChar w:fldCharType="begin"/>
      </w:r>
      <w:r>
        <w:instrText xml:space="preserve"> SEQ Proposal \* ARABIC </w:instrText>
      </w:r>
      <w:r>
        <w:fldChar w:fldCharType="separate"/>
      </w:r>
      <w:r w:rsidR="002609B9">
        <w:rPr>
          <w:noProof/>
        </w:rPr>
        <w:t>1</w:t>
      </w:r>
      <w:r>
        <w:fldChar w:fldCharType="end"/>
      </w:r>
      <w:r>
        <w:t xml:space="preserve">: RAN4 can consider two use cases for NCSG: 1) </w:t>
      </w:r>
      <w:r w:rsidR="00C77749">
        <w:t>UE can use</w:t>
      </w:r>
      <w:r>
        <w:t xml:space="preserve"> spare RF chain</w:t>
      </w:r>
      <w:r w:rsidR="00C77749">
        <w:t>(s)</w:t>
      </w:r>
      <w:r>
        <w:t xml:space="preserve"> </w:t>
      </w:r>
      <w:r w:rsidR="00C77749">
        <w:t>for inter-frequency measurement. 2) UE can enlarge channel bandwidth to perform measurement on contiguous carriers.</w:t>
      </w:r>
      <w:bookmarkEnd w:id="2"/>
    </w:p>
    <w:p w14:paraId="43BEFC8C" w14:textId="22822E70" w:rsidR="00C77749" w:rsidRDefault="00C77749" w:rsidP="00C77749">
      <w:pPr>
        <w:pStyle w:val="Caption"/>
      </w:pPr>
      <w:bookmarkStart w:id="3" w:name="_Ref68084652"/>
      <w:r>
        <w:t xml:space="preserve">Proposal </w:t>
      </w:r>
      <w:r>
        <w:fldChar w:fldCharType="begin"/>
      </w:r>
      <w:r>
        <w:instrText xml:space="preserve"> SEQ Proposal \* ARABIC </w:instrText>
      </w:r>
      <w:r>
        <w:fldChar w:fldCharType="separate"/>
      </w:r>
      <w:r w:rsidR="002609B9">
        <w:rPr>
          <w:noProof/>
        </w:rPr>
        <w:t>2</w:t>
      </w:r>
      <w:r>
        <w:fldChar w:fldCharType="end"/>
      </w:r>
      <w:r>
        <w:t>: per-CC is not considered at this stage.</w:t>
      </w:r>
      <w:bookmarkEnd w:id="3"/>
    </w:p>
    <w:p w14:paraId="32DA7C66" w14:textId="4B6A08F4" w:rsidR="003F1E79" w:rsidRDefault="00C77749" w:rsidP="003F1E79">
      <w:pPr>
        <w:rPr>
          <w:lang w:val="en-US" w:eastAsia="zh-CN"/>
        </w:rPr>
      </w:pPr>
      <w:r>
        <w:rPr>
          <w:lang w:val="en-US" w:eastAsia="zh-CN"/>
        </w:rPr>
        <w:t>Regarding NCSG design:</w:t>
      </w:r>
    </w:p>
    <w:p w14:paraId="3078A965" w14:textId="77777777" w:rsidR="00C77749" w:rsidRPr="00C77749" w:rsidRDefault="00C77749" w:rsidP="00C77749">
      <w:pPr>
        <w:numPr>
          <w:ilvl w:val="0"/>
          <w:numId w:val="33"/>
        </w:numPr>
        <w:rPr>
          <w:lang w:val="en-CN" w:eastAsia="zh-CN"/>
        </w:rPr>
      </w:pPr>
      <w:r w:rsidRPr="00C77749">
        <w:rPr>
          <w:lang w:val="en-US" w:eastAsia="zh-CN"/>
        </w:rPr>
        <w:t>The general NCSG design principle</w:t>
      </w:r>
      <w:r w:rsidRPr="00C77749">
        <w:rPr>
          <w:i/>
          <w:iCs/>
          <w:lang w:val="en-US" w:eastAsia="zh-CN"/>
        </w:rPr>
        <w:t xml:space="preserve"> :</w:t>
      </w:r>
    </w:p>
    <w:p w14:paraId="2007637B" w14:textId="77777777" w:rsidR="00C77749" w:rsidRPr="00C77749" w:rsidRDefault="00C77749" w:rsidP="00C77749">
      <w:pPr>
        <w:numPr>
          <w:ilvl w:val="1"/>
          <w:numId w:val="33"/>
        </w:numPr>
        <w:rPr>
          <w:lang w:val="en-CN" w:eastAsia="zh-CN"/>
        </w:rPr>
      </w:pPr>
      <w:r w:rsidRPr="00C77749">
        <w:rPr>
          <w:lang w:val="en-US" w:eastAsia="zh-CN"/>
        </w:rPr>
        <w:lastRenderedPageBreak/>
        <w:t>FFS on which legacy patterns in Rel16 can be reused for NCSG</w:t>
      </w:r>
    </w:p>
    <w:p w14:paraId="56802CB7" w14:textId="77777777" w:rsidR="00C77749" w:rsidRPr="00C77749" w:rsidRDefault="00C77749" w:rsidP="00C77749">
      <w:pPr>
        <w:numPr>
          <w:ilvl w:val="2"/>
          <w:numId w:val="33"/>
        </w:numPr>
        <w:rPr>
          <w:lang w:val="en-CN" w:eastAsia="zh-CN"/>
        </w:rPr>
      </w:pPr>
      <w:r w:rsidRPr="00C77749">
        <w:rPr>
          <w:lang w:val="en-US" w:eastAsia="zh-CN"/>
        </w:rPr>
        <w:t xml:space="preserve">Option 1. All </w:t>
      </w:r>
      <w:r w:rsidRPr="00C77749">
        <w:rPr>
          <w:lang w:eastAsia="zh-CN"/>
        </w:rPr>
        <w:t>26 NCSG patterns in Rel16</w:t>
      </w:r>
    </w:p>
    <w:p w14:paraId="0E4049D1" w14:textId="77777777" w:rsidR="00C77749" w:rsidRPr="00C77749" w:rsidRDefault="00C77749" w:rsidP="00C77749">
      <w:pPr>
        <w:numPr>
          <w:ilvl w:val="2"/>
          <w:numId w:val="33"/>
        </w:numPr>
        <w:rPr>
          <w:lang w:val="en-CN" w:eastAsia="zh-CN"/>
        </w:rPr>
      </w:pPr>
      <w:r w:rsidRPr="00C77749">
        <w:rPr>
          <w:lang w:eastAsia="zh-CN"/>
        </w:rPr>
        <w:t>Option 2 Reuse part of the legacy MG patterns in [2] as the new NCSG patterns in NR.</w:t>
      </w:r>
    </w:p>
    <w:p w14:paraId="535C8887" w14:textId="77777777" w:rsidR="00C77749" w:rsidRPr="00C77749" w:rsidRDefault="00C77749" w:rsidP="00C77749">
      <w:pPr>
        <w:numPr>
          <w:ilvl w:val="2"/>
          <w:numId w:val="33"/>
        </w:numPr>
        <w:rPr>
          <w:lang w:val="en-CN" w:eastAsia="zh-CN"/>
        </w:rPr>
      </w:pPr>
      <w:r w:rsidRPr="00C77749">
        <w:rPr>
          <w:lang w:eastAsia="zh-CN"/>
        </w:rPr>
        <w:t>Option 2a : reuse part of the legacy MG patterns with long MGL, e.g., gap pattern with ID 0,1,4,5 for FR1, or ID 12,13,14,15 for FR2.</w:t>
      </w:r>
    </w:p>
    <w:p w14:paraId="1FEE8653" w14:textId="77777777" w:rsidR="00C77749" w:rsidRPr="00C77749" w:rsidRDefault="00C77749" w:rsidP="00C77749">
      <w:pPr>
        <w:numPr>
          <w:ilvl w:val="2"/>
          <w:numId w:val="33"/>
        </w:numPr>
        <w:rPr>
          <w:lang w:val="en-CN" w:eastAsia="zh-CN"/>
        </w:rPr>
      </w:pPr>
      <w:r w:rsidRPr="00C77749">
        <w:rPr>
          <w:lang w:eastAsia="zh-CN"/>
        </w:rPr>
        <w:t>Option 2b : NR gap patterns #0~23 .</w:t>
      </w:r>
    </w:p>
    <w:p w14:paraId="1CA3EB7B" w14:textId="77777777" w:rsidR="00C77749" w:rsidRPr="00C77749" w:rsidRDefault="00C77749" w:rsidP="00C77749">
      <w:pPr>
        <w:numPr>
          <w:ilvl w:val="2"/>
          <w:numId w:val="33"/>
        </w:numPr>
        <w:rPr>
          <w:lang w:val="en-CN" w:eastAsia="zh-CN"/>
        </w:rPr>
      </w:pPr>
      <w:r w:rsidRPr="00C77749">
        <w:rPr>
          <w:lang w:val="en-US" w:eastAsia="zh-CN"/>
        </w:rPr>
        <w:t xml:space="preserve">Option 2c :  RAN4 should consider defining a limited number of suitable NCSG patterns and assign a UE capability to some of them, while the remaining ones will form a basic set. In addition, RAN4 may consider a UE capability in view of </w:t>
      </w:r>
      <w:r w:rsidRPr="00C77749">
        <w:rPr>
          <w:lang w:eastAsia="zh-CN"/>
        </w:rPr>
        <w:t>different support levels related to VIL requirements</w:t>
      </w:r>
    </w:p>
    <w:p w14:paraId="578D928B" w14:textId="77777777" w:rsidR="00C77749" w:rsidRPr="00C77749" w:rsidRDefault="00C77749" w:rsidP="00C77749">
      <w:pPr>
        <w:numPr>
          <w:ilvl w:val="0"/>
          <w:numId w:val="33"/>
        </w:numPr>
        <w:rPr>
          <w:lang w:val="en-CN" w:eastAsia="zh-CN"/>
        </w:rPr>
      </w:pPr>
      <w:r w:rsidRPr="00C77749">
        <w:rPr>
          <w:lang w:val="en-US" w:eastAsia="zh-CN"/>
        </w:rPr>
        <w:t>VIL: FFS on whether VIL shall be defined as the equivalent time of the interrupted slots or, equals to absolute RF retuning time defined in Rel-15</w:t>
      </w:r>
    </w:p>
    <w:p w14:paraId="6D3BB58F" w14:textId="77777777" w:rsidR="00C77749" w:rsidRPr="00C77749" w:rsidRDefault="00C77749" w:rsidP="00C77749">
      <w:pPr>
        <w:numPr>
          <w:ilvl w:val="1"/>
          <w:numId w:val="33"/>
        </w:numPr>
        <w:rPr>
          <w:lang w:val="en-CN" w:eastAsia="zh-CN"/>
        </w:rPr>
      </w:pPr>
      <w:r w:rsidRPr="00C77749">
        <w:rPr>
          <w:lang w:val="en-US" w:eastAsia="zh-CN"/>
        </w:rPr>
        <w:t>FFS: depending on numerology</w:t>
      </w:r>
    </w:p>
    <w:p w14:paraId="1D384DA7" w14:textId="77777777" w:rsidR="00C77749" w:rsidRPr="00C77749" w:rsidRDefault="00C77749" w:rsidP="00C77749">
      <w:pPr>
        <w:numPr>
          <w:ilvl w:val="0"/>
          <w:numId w:val="33"/>
        </w:numPr>
        <w:rPr>
          <w:lang w:val="en-CN" w:eastAsia="zh-CN"/>
        </w:rPr>
      </w:pPr>
      <w:r w:rsidRPr="00C77749">
        <w:rPr>
          <w:lang w:val="en-US" w:eastAsia="zh-CN"/>
        </w:rPr>
        <w:t xml:space="preserve">FFS on </w:t>
      </w:r>
      <w:r w:rsidRPr="00C77749">
        <w:rPr>
          <w:u w:val="single"/>
          <w:lang w:val="en-US" w:eastAsia="zh-CN"/>
        </w:rPr>
        <w:t>Per-UE/Per-FR NCSG applicability</w:t>
      </w:r>
    </w:p>
    <w:p w14:paraId="1407B026" w14:textId="77777777" w:rsidR="00C77749" w:rsidRPr="00C77749" w:rsidRDefault="00C77749" w:rsidP="00C77749">
      <w:pPr>
        <w:numPr>
          <w:ilvl w:val="1"/>
          <w:numId w:val="33"/>
        </w:numPr>
        <w:rPr>
          <w:lang w:val="en-CN" w:eastAsia="zh-CN"/>
        </w:rPr>
      </w:pPr>
      <w:r w:rsidRPr="00C77749">
        <w:rPr>
          <w:lang w:val="en-US" w:eastAsia="zh-CN"/>
        </w:rPr>
        <w:t>Option 1 : NCSG pattern should be configured based on MG configuration considering per FR1 or FR2 gap.</w:t>
      </w:r>
    </w:p>
    <w:p w14:paraId="05FD694A" w14:textId="77777777" w:rsidR="00C77749" w:rsidRPr="00C77749" w:rsidRDefault="00C77749" w:rsidP="00C77749">
      <w:pPr>
        <w:numPr>
          <w:ilvl w:val="1"/>
          <w:numId w:val="33"/>
        </w:numPr>
        <w:rPr>
          <w:lang w:val="en-CN" w:eastAsia="zh-CN"/>
        </w:rPr>
      </w:pPr>
      <w:r w:rsidRPr="00C77749">
        <w:rPr>
          <w:lang w:val="en-US" w:eastAsia="zh-CN"/>
        </w:rPr>
        <w:t>Option 2: Support both per FR and per UE NCSG patterns</w:t>
      </w:r>
    </w:p>
    <w:p w14:paraId="43CB78B2" w14:textId="77777777" w:rsidR="00632918" w:rsidRDefault="00350068" w:rsidP="003F1E79">
      <w:pPr>
        <w:rPr>
          <w:lang w:val="en-US" w:eastAsia="zh-CN"/>
        </w:rPr>
      </w:pPr>
      <w:r>
        <w:rPr>
          <w:lang w:val="en-US" w:eastAsia="zh-CN"/>
        </w:rPr>
        <w:t xml:space="preserve">The first issue is </w:t>
      </w:r>
      <w:r w:rsidR="00C77749" w:rsidRPr="00C77749">
        <w:rPr>
          <w:lang w:val="en-US" w:eastAsia="zh-CN"/>
        </w:rPr>
        <w:t>which legacy patterns in Rel16 can be reused for NCSG</w:t>
      </w:r>
      <w:r>
        <w:rPr>
          <w:lang w:val="en-US" w:eastAsia="zh-CN"/>
        </w:rPr>
        <w:t xml:space="preserve">. In principle, if the support of NCSG and the support of legacy MG patterns can be independently indicated, then it should be fine to define NCSG patterns according to all the existing MG patterns. </w:t>
      </w:r>
    </w:p>
    <w:p w14:paraId="2F3060C8" w14:textId="635E1701" w:rsidR="00C77749" w:rsidRDefault="00632918" w:rsidP="003F1E79">
      <w:pPr>
        <w:rPr>
          <w:snapToGrid w:val="0"/>
          <w:lang w:eastAsia="ko-KR"/>
        </w:rPr>
      </w:pPr>
      <w:r>
        <w:rPr>
          <w:lang w:val="en-US" w:eastAsia="zh-CN"/>
        </w:rPr>
        <w:t>For VIL, the actual length depends on RF switch</w:t>
      </w:r>
      <w:r w:rsidR="00CA0D1C">
        <w:rPr>
          <w:lang w:val="en-US" w:eastAsia="zh-CN"/>
        </w:rPr>
        <w:t>ing</w:t>
      </w:r>
      <w:r>
        <w:rPr>
          <w:lang w:val="en-US" w:eastAsia="zh-CN"/>
        </w:rPr>
        <w:t xml:space="preserve"> time</w:t>
      </w:r>
      <w:r w:rsidR="00CA0D1C">
        <w:rPr>
          <w:lang w:val="en-US" w:eastAsia="zh-CN"/>
        </w:rPr>
        <w:t xml:space="preserve">. When translating the absolute RF switching time into number of slots, we can have different number for different numerologies. </w:t>
      </w:r>
      <w:r w:rsidR="00884CCF">
        <w:rPr>
          <w:lang w:val="en-US" w:eastAsia="zh-CN"/>
        </w:rPr>
        <w:t xml:space="preserve">It is better to define VIL explicitly as the number of interrupted slots, similar as existing </w:t>
      </w:r>
      <w:r w:rsidR="00884CCF" w:rsidRPr="009C5807">
        <w:rPr>
          <w:snapToGrid w:val="0"/>
        </w:rPr>
        <w:t xml:space="preserve">Table </w:t>
      </w:r>
      <w:r w:rsidR="00884CCF" w:rsidRPr="009C5807">
        <w:rPr>
          <w:snapToGrid w:val="0"/>
          <w:lang w:eastAsia="ko-KR"/>
        </w:rPr>
        <w:t>9.1.2</w:t>
      </w:r>
      <w:r w:rsidR="00884CCF" w:rsidRPr="009C5807">
        <w:rPr>
          <w:snapToGrid w:val="0"/>
        </w:rPr>
        <w:t>-</w:t>
      </w:r>
      <w:r w:rsidR="00884CCF" w:rsidRPr="009C5807">
        <w:rPr>
          <w:snapToGrid w:val="0"/>
          <w:lang w:eastAsia="ko-KR"/>
        </w:rPr>
        <w:t>4</w:t>
      </w:r>
      <w:r w:rsidR="00884CCF">
        <w:rPr>
          <w:snapToGrid w:val="0"/>
          <w:lang w:eastAsia="ko-KR"/>
        </w:rPr>
        <w:t xml:space="preserve"> in TS38.133.</w:t>
      </w:r>
    </w:p>
    <w:p w14:paraId="2BA5737B" w14:textId="5639844F" w:rsidR="00884CCF" w:rsidRDefault="00884CCF" w:rsidP="003F1E79">
      <w:pPr>
        <w:rPr>
          <w:snapToGrid w:val="0"/>
          <w:lang w:eastAsia="ko-KR"/>
        </w:rPr>
      </w:pPr>
      <w:r>
        <w:rPr>
          <w:snapToGrid w:val="0"/>
          <w:lang w:eastAsia="ko-KR"/>
        </w:rPr>
        <w:t xml:space="preserve">Regarding per-UE and per-FR NCSG applicability, </w:t>
      </w:r>
      <w:r w:rsidR="008A2D71">
        <w:rPr>
          <w:snapToGrid w:val="0"/>
          <w:lang w:eastAsia="ko-KR"/>
        </w:rPr>
        <w:t>we don’t see</w:t>
      </w:r>
      <w:r w:rsidR="00ED3972">
        <w:rPr>
          <w:snapToGrid w:val="0"/>
          <w:lang w:eastAsia="ko-KR"/>
        </w:rPr>
        <w:t xml:space="preserve"> how</w:t>
      </w:r>
      <w:r w:rsidR="008A2D71">
        <w:rPr>
          <w:snapToGrid w:val="0"/>
          <w:lang w:eastAsia="ko-KR"/>
        </w:rPr>
        <w:t xml:space="preserve"> </w:t>
      </w:r>
      <w:r w:rsidR="00ED3972">
        <w:rPr>
          <w:snapToGrid w:val="0"/>
          <w:lang w:eastAsia="ko-KR"/>
        </w:rPr>
        <w:t>the two options on the table conflict with each other.</w:t>
      </w:r>
      <w:r w:rsidR="00C354CF">
        <w:rPr>
          <w:snapToGrid w:val="0"/>
          <w:lang w:eastAsia="ko-KR"/>
        </w:rPr>
        <w:t xml:space="preserve"> Per-FR NCSG can benefit the system throughput. Depending on UE capabilities, per-FR NCSG </w:t>
      </w:r>
      <w:r w:rsidR="007066BC">
        <w:rPr>
          <w:snapToGrid w:val="0"/>
          <w:lang w:eastAsia="ko-KR"/>
        </w:rPr>
        <w:t>and per UE NCSG can be supported.</w:t>
      </w:r>
    </w:p>
    <w:p w14:paraId="7795A2BD" w14:textId="1C604F62" w:rsidR="007066BC" w:rsidRDefault="007066BC" w:rsidP="007066BC">
      <w:pPr>
        <w:pStyle w:val="Caption"/>
        <w:rPr>
          <w:lang w:val="en-US" w:eastAsia="zh-CN"/>
        </w:rPr>
      </w:pPr>
      <w:bookmarkStart w:id="4" w:name="_Ref68084657"/>
      <w:r>
        <w:t xml:space="preserve">Proposal </w:t>
      </w:r>
      <w:r>
        <w:fldChar w:fldCharType="begin"/>
      </w:r>
      <w:r>
        <w:instrText xml:space="preserve"> SEQ Proposal \* ARABIC </w:instrText>
      </w:r>
      <w:r>
        <w:fldChar w:fldCharType="separate"/>
      </w:r>
      <w:r w:rsidR="002609B9">
        <w:rPr>
          <w:noProof/>
        </w:rPr>
        <w:t>3</w:t>
      </w:r>
      <w:r>
        <w:fldChar w:fldCharType="end"/>
      </w:r>
      <w:r>
        <w:t xml:space="preserve">: </w:t>
      </w:r>
      <w:r>
        <w:rPr>
          <w:lang w:val="en-US" w:eastAsia="zh-CN"/>
        </w:rPr>
        <w:t>if the support of NCSG and the support of legacy MG patterns can be independently indicated, then all the existing MG patterns can be extended to be NCSG.</w:t>
      </w:r>
      <w:bookmarkEnd w:id="4"/>
    </w:p>
    <w:p w14:paraId="57D79806" w14:textId="3EB9B352" w:rsidR="007066BC" w:rsidRDefault="007066BC" w:rsidP="007066BC">
      <w:pPr>
        <w:pStyle w:val="Caption"/>
        <w:rPr>
          <w:snapToGrid w:val="0"/>
          <w:lang w:eastAsia="ko-KR"/>
        </w:rPr>
      </w:pPr>
      <w:bookmarkStart w:id="5" w:name="_Ref68084665"/>
      <w:r>
        <w:t xml:space="preserve">Proposal </w:t>
      </w:r>
      <w:r>
        <w:fldChar w:fldCharType="begin"/>
      </w:r>
      <w:r>
        <w:instrText xml:space="preserve"> SEQ Proposal \* ARABIC </w:instrText>
      </w:r>
      <w:r>
        <w:fldChar w:fldCharType="separate"/>
      </w:r>
      <w:r w:rsidR="002609B9">
        <w:rPr>
          <w:noProof/>
        </w:rPr>
        <w:t>4</w:t>
      </w:r>
      <w:r>
        <w:fldChar w:fldCharType="end"/>
      </w:r>
      <w:r>
        <w:t xml:space="preserve">: </w:t>
      </w:r>
      <w:r>
        <w:rPr>
          <w:lang w:val="en-US" w:eastAsia="zh-CN"/>
        </w:rPr>
        <w:t xml:space="preserve">VIL should be explicitly defined as the number of interrupted slots, similar as existing </w:t>
      </w: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Pr>
          <w:snapToGrid w:val="0"/>
          <w:lang w:eastAsia="ko-KR"/>
        </w:rPr>
        <w:t xml:space="preserve"> in TS38.133.</w:t>
      </w:r>
      <w:bookmarkEnd w:id="5"/>
    </w:p>
    <w:p w14:paraId="396B0E60" w14:textId="53CD3B82" w:rsidR="007066BC" w:rsidRPr="007066BC" w:rsidRDefault="00904CD9" w:rsidP="00904CD9">
      <w:pPr>
        <w:pStyle w:val="Caption"/>
        <w:rPr>
          <w:lang w:val="en-US" w:eastAsia="ko-KR"/>
        </w:rPr>
      </w:pPr>
      <w:bookmarkStart w:id="6" w:name="_Ref68084670"/>
      <w:r>
        <w:t xml:space="preserve">Proposal </w:t>
      </w:r>
      <w:r>
        <w:fldChar w:fldCharType="begin"/>
      </w:r>
      <w:r>
        <w:instrText xml:space="preserve"> SEQ Proposal \* ARABIC </w:instrText>
      </w:r>
      <w:r>
        <w:fldChar w:fldCharType="separate"/>
      </w:r>
      <w:r w:rsidR="002609B9">
        <w:rPr>
          <w:noProof/>
        </w:rPr>
        <w:t>5</w:t>
      </w:r>
      <w:r>
        <w:fldChar w:fldCharType="end"/>
      </w:r>
      <w:r>
        <w:t xml:space="preserve">: both per-FR and per-UE NCSG can be supported. </w:t>
      </w:r>
      <w:r w:rsidR="002E1180">
        <w:rPr>
          <w:lang w:val="en-US" w:eastAsia="zh-CN"/>
        </w:rPr>
        <w:t>F</w:t>
      </w:r>
      <w:r w:rsidR="00A80014" w:rsidRPr="00A80014">
        <w:rPr>
          <w:lang w:val="en-US" w:eastAsia="zh-CN"/>
        </w:rPr>
        <w:t>or UE supporting per-FR gap, VIL is allowed only on the serving cell in the same FR wherein there is NCSG operation. Otherwise, VIL is allowed on all serving cells</w:t>
      </w:r>
      <w:bookmarkEnd w:id="6"/>
    </w:p>
    <w:p w14:paraId="41E0FF35" w14:textId="16156E94" w:rsidR="00C77749" w:rsidRDefault="002E7540" w:rsidP="003F1E79">
      <w:pPr>
        <w:rPr>
          <w:lang w:val="en-US" w:eastAsia="zh-CN"/>
        </w:rPr>
      </w:pPr>
      <w:r>
        <w:rPr>
          <w:lang w:val="en-US" w:eastAsia="zh-CN"/>
        </w:rPr>
        <w:t>On NCSG configuration:</w:t>
      </w:r>
    </w:p>
    <w:p w14:paraId="271FD189" w14:textId="77777777" w:rsidR="002E7540" w:rsidRPr="002E7540" w:rsidRDefault="002E7540" w:rsidP="002E7540">
      <w:pPr>
        <w:numPr>
          <w:ilvl w:val="0"/>
          <w:numId w:val="34"/>
        </w:numPr>
        <w:rPr>
          <w:lang w:val="en-CN" w:eastAsia="zh-CN"/>
        </w:rPr>
      </w:pPr>
      <w:r w:rsidRPr="002E7540">
        <w:rPr>
          <w:lang w:val="en-US" w:eastAsia="zh-CN"/>
        </w:rPr>
        <w:t>FFS on Implicit or explicit configuration of NCSG</w:t>
      </w:r>
    </w:p>
    <w:p w14:paraId="0AB64D6A" w14:textId="77777777" w:rsidR="002E7540" w:rsidRPr="002E7540" w:rsidRDefault="002E7540" w:rsidP="002E7540">
      <w:pPr>
        <w:numPr>
          <w:ilvl w:val="1"/>
          <w:numId w:val="34"/>
        </w:numPr>
        <w:rPr>
          <w:lang w:val="en-CN" w:eastAsia="zh-CN"/>
        </w:rPr>
      </w:pPr>
      <w:r w:rsidRPr="002E7540">
        <w:rPr>
          <w:lang w:val="en-US" w:eastAsia="zh-CN"/>
        </w:rPr>
        <w:t>Option 1. UE may assume the implicit and explicit configurations of NCSG are not concurrently activated.</w:t>
      </w:r>
    </w:p>
    <w:p w14:paraId="0EC48A6B" w14:textId="77777777" w:rsidR="002E7540" w:rsidRPr="002E7540" w:rsidRDefault="002E7540" w:rsidP="002E7540">
      <w:pPr>
        <w:numPr>
          <w:ilvl w:val="2"/>
          <w:numId w:val="34"/>
        </w:numPr>
        <w:rPr>
          <w:lang w:val="en-CN" w:eastAsia="zh-CN"/>
        </w:rPr>
      </w:pPr>
      <w:r w:rsidRPr="002E7540">
        <w:rPr>
          <w:lang w:val="en-US" w:eastAsia="zh-CN"/>
        </w:rPr>
        <w:t>Implicit activation of NCSG means UE may introduce VILs at the start and stop of a configured MG while ML is the same as MGL and VIRP is the same as MGRP.</w:t>
      </w:r>
    </w:p>
    <w:p w14:paraId="24FED31C" w14:textId="77777777" w:rsidR="002E7540" w:rsidRPr="002E7540" w:rsidRDefault="002E7540" w:rsidP="002E7540">
      <w:pPr>
        <w:numPr>
          <w:ilvl w:val="2"/>
          <w:numId w:val="34"/>
        </w:numPr>
        <w:rPr>
          <w:lang w:val="en-CN" w:eastAsia="zh-CN"/>
        </w:rPr>
      </w:pPr>
      <w:r w:rsidRPr="002E7540">
        <w:rPr>
          <w:lang w:val="en-US" w:eastAsia="zh-CN"/>
        </w:rPr>
        <w:t>Explicit activation of NCSG means UE follows the configuration of the network in terms of VIL1/VIL2/ML and VIRP.</w:t>
      </w:r>
    </w:p>
    <w:p w14:paraId="5EF5A167" w14:textId="77777777" w:rsidR="002E7540" w:rsidRPr="002E7540" w:rsidRDefault="002E7540" w:rsidP="002E7540">
      <w:pPr>
        <w:numPr>
          <w:ilvl w:val="1"/>
          <w:numId w:val="34"/>
        </w:numPr>
        <w:rPr>
          <w:lang w:val="en-CN" w:eastAsia="zh-CN"/>
        </w:rPr>
      </w:pPr>
      <w:r w:rsidRPr="002E7540">
        <w:rPr>
          <w:lang w:val="en-US" w:eastAsia="zh-CN"/>
        </w:rPr>
        <w:t>Option 2. NW explicitly configures the NCSG for VIL1/VIL2/ML/VIRP and offset.</w:t>
      </w:r>
    </w:p>
    <w:p w14:paraId="103DCA28" w14:textId="77777777" w:rsidR="002E7540" w:rsidRPr="002E7540" w:rsidRDefault="002E7540" w:rsidP="002E7540">
      <w:pPr>
        <w:numPr>
          <w:ilvl w:val="0"/>
          <w:numId w:val="34"/>
        </w:numPr>
        <w:rPr>
          <w:lang w:val="en-CN" w:eastAsia="zh-CN"/>
        </w:rPr>
      </w:pPr>
      <w:r w:rsidRPr="002E7540">
        <w:rPr>
          <w:lang w:val="en-US" w:eastAsia="zh-CN"/>
        </w:rPr>
        <w:t>FFS on Number of NSCG patterns configured</w:t>
      </w:r>
    </w:p>
    <w:p w14:paraId="4F3FDCDC" w14:textId="2D811CED" w:rsidR="002E7540" w:rsidRDefault="002E7540" w:rsidP="002E7540">
      <w:pPr>
        <w:numPr>
          <w:ilvl w:val="1"/>
          <w:numId w:val="34"/>
        </w:numPr>
        <w:rPr>
          <w:lang w:val="en-US" w:eastAsia="zh-CN"/>
        </w:rPr>
      </w:pPr>
      <w:r w:rsidRPr="002E7540">
        <w:rPr>
          <w:lang w:val="en-US" w:eastAsia="zh-CN"/>
        </w:rPr>
        <w:lastRenderedPageBreak/>
        <w:t>Option 1. RAN4 should consider defining a limited number of suitable NCSG patterns and assign a UE capability to some of them, while the remaining ones will form a basic set. In addition, RAN4 may consider a UE capability in view of different support levels related to VIL requirements</w:t>
      </w:r>
    </w:p>
    <w:p w14:paraId="1289970A" w14:textId="0F47B3B8" w:rsidR="003346EA" w:rsidRDefault="002E7540" w:rsidP="003F1E79">
      <w:pPr>
        <w:rPr>
          <w:lang w:val="en-US" w:eastAsia="zh-CN"/>
        </w:rPr>
      </w:pPr>
      <w:r>
        <w:rPr>
          <w:lang w:val="en-US" w:eastAsia="zh-CN"/>
        </w:rPr>
        <w:t xml:space="preserve">The first FFS depends on how the NCSG pattern will be introduced. </w:t>
      </w:r>
      <w:r w:rsidR="003346EA">
        <w:rPr>
          <w:lang w:val="en-US" w:eastAsia="zh-CN"/>
        </w:rPr>
        <w:t xml:space="preserve">If existing MG pattern table </w:t>
      </w:r>
      <w:r w:rsidR="003346EA" w:rsidRPr="003346EA">
        <w:rPr>
          <w:lang w:eastAsia="zh-CN"/>
        </w:rPr>
        <w:t>9.1.2-1</w:t>
      </w:r>
      <w:r w:rsidR="003346EA">
        <w:rPr>
          <w:lang w:eastAsia="zh-CN"/>
        </w:rPr>
        <w:t xml:space="preserve"> is to be reused, then implicit configuration of NCSG can work, i.e. network would still configure MG pattern as legacy and UE </w:t>
      </w:r>
      <w:r w:rsidRPr="002E7540">
        <w:rPr>
          <w:lang w:val="en-US" w:eastAsia="zh-CN"/>
        </w:rPr>
        <w:t>may introduce VILs at the start and stop of a configured MG while ML is the same as MGL and VIRP is the same as MGRP</w:t>
      </w:r>
      <w:r w:rsidR="003346EA">
        <w:rPr>
          <w:lang w:val="en-US" w:eastAsia="zh-CN"/>
        </w:rPr>
        <w:t>.</w:t>
      </w:r>
    </w:p>
    <w:p w14:paraId="1C119CF0" w14:textId="2878652D" w:rsidR="002E7540" w:rsidRDefault="003346EA" w:rsidP="003F1E79">
      <w:pPr>
        <w:rPr>
          <w:lang w:val="en-US" w:eastAsia="zh-CN"/>
        </w:rPr>
      </w:pPr>
      <w:r>
        <w:rPr>
          <w:lang w:val="en-US" w:eastAsia="zh-CN"/>
        </w:rPr>
        <w:t>However, i</w:t>
      </w:r>
      <w:r w:rsidR="002E7540">
        <w:rPr>
          <w:lang w:val="en-US" w:eastAsia="zh-CN"/>
        </w:rPr>
        <w:t>f NCSG patterns are to be defined in a new table</w:t>
      </w:r>
      <w:r>
        <w:rPr>
          <w:lang w:val="en-US" w:eastAsia="zh-CN"/>
        </w:rPr>
        <w:t>, then explicit indicator of NCSG would be needed. The principle is that both UE and network shall have same understanding of VIL, ML and VIRP.</w:t>
      </w:r>
    </w:p>
    <w:p w14:paraId="2DCE2BBE" w14:textId="77018E11" w:rsidR="003346EA" w:rsidRDefault="003346EA" w:rsidP="003F1E79">
      <w:pPr>
        <w:rPr>
          <w:lang w:val="en-US" w:eastAsia="zh-CN"/>
        </w:rPr>
      </w:pPr>
      <w:r>
        <w:rPr>
          <w:lang w:val="en-US" w:eastAsia="zh-CN"/>
        </w:rPr>
        <w:t>Regarding the second FFS, similar with proposal 3 above, if the support of NCSG and the support of legacy MG patterns can be independently indicated, then all the existing MG patterns can be extended to be NCSG.</w:t>
      </w:r>
    </w:p>
    <w:p w14:paraId="11B4144B" w14:textId="3ED25CD6" w:rsidR="003346EA" w:rsidRDefault="003346EA" w:rsidP="003346EA">
      <w:pPr>
        <w:pStyle w:val="Caption"/>
        <w:rPr>
          <w:lang w:val="en-US" w:eastAsia="zh-CN"/>
        </w:rPr>
      </w:pPr>
      <w:bookmarkStart w:id="7" w:name="_Ref68084678"/>
      <w:r>
        <w:t xml:space="preserve">Proposal </w:t>
      </w:r>
      <w:r>
        <w:fldChar w:fldCharType="begin"/>
      </w:r>
      <w:r>
        <w:instrText xml:space="preserve"> SEQ Proposal \* ARABIC </w:instrText>
      </w:r>
      <w:r>
        <w:fldChar w:fldCharType="separate"/>
      </w:r>
      <w:r w:rsidR="002609B9">
        <w:rPr>
          <w:noProof/>
        </w:rPr>
        <w:t>6</w:t>
      </w:r>
      <w:r>
        <w:fldChar w:fldCharType="end"/>
      </w:r>
      <w:r>
        <w:t xml:space="preserve">: </w:t>
      </w:r>
      <w:r>
        <w:rPr>
          <w:lang w:val="en-US" w:eastAsia="zh-CN"/>
        </w:rPr>
        <w:t xml:space="preserve">If existing MG pattern table </w:t>
      </w:r>
      <w:r w:rsidRPr="003346EA">
        <w:rPr>
          <w:lang w:eastAsia="zh-CN"/>
        </w:rPr>
        <w:t>9.1.2-1</w:t>
      </w:r>
      <w:r>
        <w:rPr>
          <w:lang w:eastAsia="zh-CN"/>
        </w:rPr>
        <w:t xml:space="preserve"> is to be reused, then implicit configuration of NCSG can work, i.e. network would still configure MG pattern as legacy and UE </w:t>
      </w:r>
      <w:r w:rsidR="002E7540" w:rsidRPr="002E7540">
        <w:rPr>
          <w:lang w:val="en-US" w:eastAsia="zh-CN"/>
        </w:rPr>
        <w:t>may introduce VILs at the start and stop of a configured MG while ML is the same as MGL and VIRP is the same as MGRP</w:t>
      </w:r>
      <w:r>
        <w:rPr>
          <w:lang w:val="en-US" w:eastAsia="zh-CN"/>
        </w:rPr>
        <w:t>.</w:t>
      </w:r>
      <w:bookmarkEnd w:id="7"/>
    </w:p>
    <w:p w14:paraId="38A02FA8" w14:textId="0D5671CF" w:rsidR="003346EA" w:rsidRDefault="003346EA" w:rsidP="003346EA">
      <w:pPr>
        <w:pStyle w:val="Caption"/>
        <w:rPr>
          <w:lang w:val="en-US" w:eastAsia="zh-CN"/>
        </w:rPr>
      </w:pPr>
      <w:bookmarkStart w:id="8" w:name="_Ref68084683"/>
      <w:r>
        <w:t xml:space="preserve">Proposal </w:t>
      </w:r>
      <w:r>
        <w:fldChar w:fldCharType="begin"/>
      </w:r>
      <w:r>
        <w:instrText xml:space="preserve"> SEQ Proposal \* ARABIC </w:instrText>
      </w:r>
      <w:r>
        <w:fldChar w:fldCharType="separate"/>
      </w:r>
      <w:r w:rsidR="002609B9">
        <w:rPr>
          <w:noProof/>
        </w:rPr>
        <w:t>7</w:t>
      </w:r>
      <w:r>
        <w:fldChar w:fldCharType="end"/>
      </w:r>
      <w:r>
        <w:t>:</w:t>
      </w:r>
      <w:r w:rsidRPr="003346EA">
        <w:rPr>
          <w:lang w:val="en-US" w:eastAsia="zh-CN"/>
        </w:rPr>
        <w:t xml:space="preserve"> </w:t>
      </w:r>
      <w:r>
        <w:rPr>
          <w:lang w:val="en-US" w:eastAsia="zh-CN"/>
        </w:rPr>
        <w:t>if NCSG patterns are to be defined in a new table, then explicit indicator of NCSG would be needed. The principle is that both UE and network shall have same understanding of VIL, ML and VIRP.</w:t>
      </w:r>
      <w:bookmarkEnd w:id="8"/>
    </w:p>
    <w:p w14:paraId="6062B882" w14:textId="68186963" w:rsidR="003346EA" w:rsidRDefault="00A80014" w:rsidP="003346EA">
      <w:pPr>
        <w:rPr>
          <w:lang w:val="en-US" w:eastAsia="zh-CN"/>
        </w:rPr>
      </w:pPr>
      <w:r>
        <w:rPr>
          <w:lang w:val="en-US" w:eastAsia="zh-CN"/>
        </w:rPr>
        <w:t xml:space="preserve">Regarding </w:t>
      </w:r>
      <w:r w:rsidRPr="00A80014">
        <w:rPr>
          <w:lang w:val="en-US" w:eastAsia="zh-CN"/>
        </w:rPr>
        <w:t>Impacts on RRM requirements due to NCSG</w:t>
      </w:r>
      <w:r>
        <w:rPr>
          <w:lang w:val="en-US" w:eastAsia="zh-CN"/>
        </w:rPr>
        <w:t>:</w:t>
      </w:r>
    </w:p>
    <w:p w14:paraId="25100C09" w14:textId="77777777" w:rsidR="00A80014" w:rsidRPr="00A80014" w:rsidRDefault="00A80014" w:rsidP="00A80014">
      <w:pPr>
        <w:numPr>
          <w:ilvl w:val="0"/>
          <w:numId w:val="35"/>
        </w:numPr>
        <w:rPr>
          <w:lang w:val="en-CN" w:eastAsia="zh-CN"/>
        </w:rPr>
      </w:pPr>
      <w:r w:rsidRPr="00A80014">
        <w:rPr>
          <w:lang w:val="en-US" w:eastAsia="zh-CN"/>
        </w:rPr>
        <w:t>FFS on Interruption requirements</w:t>
      </w:r>
    </w:p>
    <w:p w14:paraId="73AA7E8C" w14:textId="77777777" w:rsidR="00A80014" w:rsidRPr="00A80014" w:rsidRDefault="00A80014" w:rsidP="00A80014">
      <w:pPr>
        <w:numPr>
          <w:ilvl w:val="1"/>
          <w:numId w:val="35"/>
        </w:numPr>
        <w:rPr>
          <w:lang w:val="en-CN" w:eastAsia="zh-CN"/>
        </w:rPr>
      </w:pPr>
      <w:r w:rsidRPr="00A80014">
        <w:rPr>
          <w:lang w:val="en-US" w:eastAsia="zh-CN"/>
        </w:rPr>
        <w:t xml:space="preserve">Option 1: </w:t>
      </w:r>
      <w:r w:rsidRPr="00A80014">
        <w:rPr>
          <w:lang w:eastAsia="zh-CN"/>
        </w:rPr>
        <w:t>The interruption requirements in TS38.133 and TS36.133 shall be revisited</w:t>
      </w:r>
      <w:r w:rsidRPr="00A80014">
        <w:rPr>
          <w:i/>
          <w:iCs/>
          <w:lang w:eastAsia="zh-CN"/>
        </w:rPr>
        <w:t xml:space="preserve"> </w:t>
      </w:r>
    </w:p>
    <w:p w14:paraId="6EC5B36C" w14:textId="77777777" w:rsidR="00A80014" w:rsidRPr="00A80014" w:rsidRDefault="00A80014" w:rsidP="00A80014">
      <w:pPr>
        <w:numPr>
          <w:ilvl w:val="1"/>
          <w:numId w:val="35"/>
        </w:numPr>
        <w:rPr>
          <w:lang w:val="en-CN" w:eastAsia="zh-CN"/>
        </w:rPr>
      </w:pPr>
      <w:r w:rsidRPr="00A80014">
        <w:rPr>
          <w:lang w:val="en-US" w:eastAsia="zh-CN"/>
        </w:rPr>
        <w:t>Option 1a. for UE supporting per-FR gap, VIL is allowed only on the serving cell in the same FR wherein there is NCSG operation. Otherwise, VIL is allowed on all serving cells.</w:t>
      </w:r>
    </w:p>
    <w:p w14:paraId="31812C19" w14:textId="77777777" w:rsidR="00A80014" w:rsidRPr="00A80014" w:rsidRDefault="00A80014" w:rsidP="00A80014">
      <w:pPr>
        <w:numPr>
          <w:ilvl w:val="1"/>
          <w:numId w:val="35"/>
        </w:numPr>
        <w:rPr>
          <w:lang w:val="en-CN" w:eastAsia="zh-CN"/>
        </w:rPr>
      </w:pPr>
      <w:r w:rsidRPr="00A80014">
        <w:rPr>
          <w:lang w:val="en-US" w:eastAsia="zh-CN"/>
        </w:rPr>
        <w:t xml:space="preserve">Option 2: </w:t>
      </w:r>
      <w:r w:rsidRPr="00A80014">
        <w:rPr>
          <w:lang w:eastAsia="zh-CN"/>
        </w:rPr>
        <w:t>Existing interruption requirements for SCell activation/deactivation can serve as starting point for the study of VIL requirements</w:t>
      </w:r>
    </w:p>
    <w:p w14:paraId="7516C5C4" w14:textId="77777777" w:rsidR="00A80014" w:rsidRPr="00A80014" w:rsidRDefault="00A80014" w:rsidP="00A80014">
      <w:pPr>
        <w:numPr>
          <w:ilvl w:val="0"/>
          <w:numId w:val="35"/>
        </w:numPr>
        <w:rPr>
          <w:lang w:val="en-CN" w:eastAsia="zh-CN"/>
        </w:rPr>
      </w:pPr>
      <w:r w:rsidRPr="00A80014">
        <w:rPr>
          <w:lang w:val="en-US" w:eastAsia="zh-CN"/>
        </w:rPr>
        <w:t xml:space="preserve">FFS on Per-UE or Per-FR capability support </w:t>
      </w:r>
    </w:p>
    <w:p w14:paraId="05ADF9B3" w14:textId="77777777" w:rsidR="00A80014" w:rsidRPr="00A80014" w:rsidRDefault="00A80014" w:rsidP="00A80014">
      <w:pPr>
        <w:numPr>
          <w:ilvl w:val="1"/>
          <w:numId w:val="35"/>
        </w:numPr>
        <w:rPr>
          <w:lang w:val="en-CN" w:eastAsia="zh-CN"/>
        </w:rPr>
      </w:pPr>
      <w:r w:rsidRPr="00A80014">
        <w:rPr>
          <w:lang w:val="en-US" w:eastAsia="zh-CN"/>
        </w:rPr>
        <w:t>Option 1:per UE and per FR NCSG for RRM measurement needs the specific UE capability.</w:t>
      </w:r>
    </w:p>
    <w:p w14:paraId="1FE5A225" w14:textId="5DD9A868" w:rsidR="00A80014" w:rsidRDefault="00A80014" w:rsidP="003346EA">
      <w:pPr>
        <w:rPr>
          <w:lang w:val="en-US" w:eastAsia="zh-CN"/>
        </w:rPr>
      </w:pPr>
      <w:r>
        <w:rPr>
          <w:lang w:val="en-US" w:eastAsia="zh-CN"/>
        </w:rPr>
        <w:t>For interruption requirements, actually the options on the table doesn’t conflict with each other. In general option 1 is OK. Option 1a is from us in the last RAN4#98e.</w:t>
      </w:r>
      <w:r w:rsidR="002E1180">
        <w:rPr>
          <w:lang w:val="en-US" w:eastAsia="zh-CN"/>
        </w:rPr>
        <w:t xml:space="preserve"> It has been captured in proposal 5. Option 2 is also agreeable to us.</w:t>
      </w:r>
    </w:p>
    <w:p w14:paraId="021E97FE" w14:textId="54FAF6A6" w:rsidR="007C793D" w:rsidRDefault="00E70405" w:rsidP="003346EA">
      <w:pPr>
        <w:rPr>
          <w:lang w:val="en-US" w:eastAsia="zh-CN"/>
        </w:rPr>
      </w:pPr>
      <w:r>
        <w:rPr>
          <w:lang w:val="en-US" w:eastAsia="zh-CN"/>
        </w:rPr>
        <w:t>As for capability support, we think the existing per-FR gap capability can be reused. For instance, if UE support legacy per-FR gap and NCSG for certain BC, then interruption due to NCSG operation should only be allowed on the serving cells in the same FR.</w:t>
      </w:r>
    </w:p>
    <w:p w14:paraId="3AD52BA0" w14:textId="706AAC8C" w:rsidR="00E70405" w:rsidRDefault="00E70405" w:rsidP="00E70405">
      <w:pPr>
        <w:pStyle w:val="Caption"/>
      </w:pPr>
      <w:bookmarkStart w:id="9" w:name="_Ref68084689"/>
      <w:r>
        <w:t xml:space="preserve">Proposal </w:t>
      </w:r>
      <w:r>
        <w:fldChar w:fldCharType="begin"/>
      </w:r>
      <w:r>
        <w:instrText xml:space="preserve"> SEQ Proposal \* ARABIC </w:instrText>
      </w:r>
      <w:r>
        <w:fldChar w:fldCharType="separate"/>
      </w:r>
      <w:r w:rsidR="002609B9">
        <w:rPr>
          <w:noProof/>
        </w:rPr>
        <w:t>8</w:t>
      </w:r>
      <w:r>
        <w:fldChar w:fldCharType="end"/>
      </w:r>
      <w:r>
        <w:t>: existing per-UE and per-FR capability can apply to NCSG.</w:t>
      </w:r>
      <w:bookmarkEnd w:id="9"/>
    </w:p>
    <w:p w14:paraId="06769602" w14:textId="28D71501" w:rsidR="00F07076" w:rsidRDefault="00F07076" w:rsidP="00F07076">
      <w:pPr>
        <w:rPr>
          <w:lang w:val="en-US" w:eastAsia="x-none"/>
        </w:rPr>
      </w:pPr>
      <w:r>
        <w:rPr>
          <w:lang w:val="en-US" w:eastAsia="x-none"/>
        </w:rPr>
        <w:t xml:space="preserve">On </w:t>
      </w:r>
      <w:r w:rsidRPr="00F07076">
        <w:rPr>
          <w:lang w:val="en-US" w:eastAsia="x-none"/>
        </w:rPr>
        <w:t>Measurement applicability</w:t>
      </w:r>
    </w:p>
    <w:p w14:paraId="77324A69" w14:textId="77777777" w:rsidR="00F07076" w:rsidRPr="00F07076" w:rsidRDefault="00F07076" w:rsidP="00F07076">
      <w:pPr>
        <w:numPr>
          <w:ilvl w:val="0"/>
          <w:numId w:val="36"/>
        </w:numPr>
        <w:rPr>
          <w:lang w:val="en-CN" w:eastAsia="x-none"/>
        </w:rPr>
      </w:pPr>
      <w:r w:rsidRPr="00F07076">
        <w:rPr>
          <w:lang w:val="en-US" w:eastAsia="x-none"/>
        </w:rPr>
        <w:t>FFS: whether NCSG can be configured simultaneously with legacy gap pattern</w:t>
      </w:r>
    </w:p>
    <w:p w14:paraId="5F5D82EC" w14:textId="77777777" w:rsidR="00F07076" w:rsidRPr="00F07076" w:rsidRDefault="00F07076" w:rsidP="00F07076">
      <w:pPr>
        <w:numPr>
          <w:ilvl w:val="0"/>
          <w:numId w:val="36"/>
        </w:numPr>
        <w:rPr>
          <w:lang w:val="en-CN" w:eastAsia="x-none"/>
        </w:rPr>
      </w:pPr>
      <w:r w:rsidRPr="00F07076">
        <w:rPr>
          <w:lang w:val="en-US" w:eastAsia="x-none"/>
        </w:rPr>
        <w:t>FFS on RF combination limitation</w:t>
      </w:r>
    </w:p>
    <w:p w14:paraId="21747D6A" w14:textId="77777777" w:rsidR="00F07076" w:rsidRPr="00F07076" w:rsidRDefault="00F07076" w:rsidP="00F07076">
      <w:pPr>
        <w:numPr>
          <w:ilvl w:val="0"/>
          <w:numId w:val="36"/>
        </w:numPr>
        <w:rPr>
          <w:lang w:val="en-CN" w:eastAsia="x-none"/>
        </w:rPr>
      </w:pPr>
      <w:r w:rsidRPr="00F07076">
        <w:rPr>
          <w:lang w:val="en-US" w:eastAsia="x-none"/>
        </w:rPr>
        <w:t>FFS on Rx beam limitation</w:t>
      </w:r>
    </w:p>
    <w:p w14:paraId="0CFC11A5" w14:textId="77777777" w:rsidR="00F07076" w:rsidRPr="00F07076" w:rsidRDefault="00F07076" w:rsidP="00F07076">
      <w:pPr>
        <w:numPr>
          <w:ilvl w:val="0"/>
          <w:numId w:val="36"/>
        </w:numPr>
        <w:rPr>
          <w:lang w:val="en-CN" w:eastAsia="x-none"/>
        </w:rPr>
      </w:pPr>
      <w:r w:rsidRPr="00F07076">
        <w:rPr>
          <w:lang w:val="en-US" w:eastAsia="x-none"/>
        </w:rPr>
        <w:t>FFS on searcher limitation</w:t>
      </w:r>
    </w:p>
    <w:p w14:paraId="684DEF8D" w14:textId="7E534037" w:rsidR="00F07076" w:rsidRDefault="00F07076" w:rsidP="00F07076">
      <w:pPr>
        <w:rPr>
          <w:lang w:val="en-US" w:eastAsia="x-none"/>
        </w:rPr>
      </w:pPr>
      <w:r>
        <w:rPr>
          <w:lang w:val="en-US" w:eastAsia="x-none"/>
        </w:rPr>
        <w:t>In our view NCSG can be configured simultaneously with legacy gap pattern, which is related to multiple concurrent and independent MG patterns. However, we also agree that in the first stage we can focus on single NCSG pattern and leave concurrent MG patterns for further study.</w:t>
      </w:r>
    </w:p>
    <w:p w14:paraId="5AD36C20" w14:textId="37F5C73E" w:rsidR="00F07076" w:rsidRDefault="00F07076" w:rsidP="00F07076">
      <w:pPr>
        <w:rPr>
          <w:lang w:val="en-US" w:eastAsia="x-none"/>
        </w:rPr>
      </w:pPr>
      <w:r>
        <w:rPr>
          <w:lang w:val="en-US" w:eastAsia="x-none"/>
        </w:rPr>
        <w:t>As for RF combination limitation, as long as the support of NCSG can be indicated per band and per band combination,</w:t>
      </w:r>
      <w:r w:rsidR="002B6C94">
        <w:rPr>
          <w:lang w:val="en-US" w:eastAsia="x-none"/>
        </w:rPr>
        <w:t xml:space="preserve"> we don’t see the necessity to further discuss the limitation of RF combination. However, one thing we would like to mention is that intra-band scenario should also be allowed, wherein UE can adjust the channel bandwidth to measure neighbor carriers</w:t>
      </w:r>
      <w:r w:rsidR="00241A14">
        <w:rPr>
          <w:lang w:val="en-US" w:eastAsia="x-none"/>
        </w:rPr>
        <w:t>.</w:t>
      </w:r>
    </w:p>
    <w:p w14:paraId="6AE97355" w14:textId="0EBBC85B" w:rsidR="00F10CEE" w:rsidRDefault="00F10CEE" w:rsidP="00F07076">
      <w:pPr>
        <w:rPr>
          <w:lang w:val="en-US" w:eastAsia="x-none"/>
        </w:rPr>
      </w:pPr>
      <w:r>
        <w:rPr>
          <w:lang w:val="en-US" w:eastAsia="x-none"/>
        </w:rPr>
        <w:t xml:space="preserve">Rx beam limitation, the concern is valid in FR2. Even though UE can have some spare RF chain but it may not be able to measure neighbor cell while keeping data transmission with serving cell since different beams are expected for </w:t>
      </w:r>
      <w:r>
        <w:rPr>
          <w:lang w:val="en-US" w:eastAsia="x-none"/>
        </w:rPr>
        <w:lastRenderedPageBreak/>
        <w:t>serving cell and neighbor cell.</w:t>
      </w:r>
      <w:r w:rsidR="00C67329">
        <w:rPr>
          <w:lang w:val="en-US" w:eastAsia="x-none"/>
        </w:rPr>
        <w:t xml:space="preserve"> For UE with IBM, it is possible that UE uses spare to measure target cell in another band while keeping connection with serving cell. However, the CSSF design covers both intra-band inter-frequency and inter-band inter-frequency. It would be quite complicated to </w:t>
      </w:r>
      <w:r w:rsidR="00C002F1">
        <w:rPr>
          <w:lang w:val="en-US" w:eastAsia="x-none"/>
        </w:rPr>
        <w:t xml:space="preserve">differentiate RRM requirements for inter-band inter-frequency and intra-band inter-frequency. Thus we propose not to consider NCSG in FR2 at current stage. </w:t>
      </w:r>
    </w:p>
    <w:p w14:paraId="2B269151" w14:textId="3750C49D" w:rsidR="00F10CEE" w:rsidRDefault="00F10CEE" w:rsidP="00F07076">
      <w:pPr>
        <w:rPr>
          <w:lang w:val="en-US" w:eastAsia="x-none"/>
        </w:rPr>
      </w:pPr>
      <w:r>
        <w:rPr>
          <w:lang w:val="en-US" w:eastAsia="x-none"/>
        </w:rPr>
        <w:t xml:space="preserve">Searcher limitation is also a valid point, which comes from baseband resource limitation. </w:t>
      </w:r>
      <w:r w:rsidR="00C67329">
        <w:rPr>
          <w:lang w:val="en-US" w:eastAsia="x-none"/>
        </w:rPr>
        <w:t>A simple way is to treat NCSG as a normal MG pattern.</w:t>
      </w:r>
      <w:r w:rsidR="00C002F1">
        <w:rPr>
          <w:lang w:val="en-US" w:eastAsia="x-none"/>
        </w:rPr>
        <w:t xml:space="preserve"> Even though UE can still do data with serving cell, we can still treat the measurement in NCSG as measurement within gap</w:t>
      </w:r>
      <w:r w:rsidR="00F74CB6">
        <w:rPr>
          <w:lang w:val="en-US" w:eastAsia="x-none"/>
        </w:rPr>
        <w:t xml:space="preserve"> when defining RRM requirements</w:t>
      </w:r>
      <w:r w:rsidR="00C002F1">
        <w:rPr>
          <w:lang w:val="en-US" w:eastAsia="x-none"/>
        </w:rPr>
        <w:t>.</w:t>
      </w:r>
      <w:r w:rsidR="00C67329">
        <w:rPr>
          <w:lang w:val="en-US" w:eastAsia="x-none"/>
        </w:rPr>
        <w:t xml:space="preserve"> Therefore, the CSSF design in RRM can still be reused.</w:t>
      </w:r>
    </w:p>
    <w:p w14:paraId="30939A58" w14:textId="55CB12B8" w:rsidR="00F74CB6" w:rsidRDefault="00F74CB6" w:rsidP="00F74CB6">
      <w:pPr>
        <w:pStyle w:val="Caption"/>
      </w:pPr>
      <w:bookmarkStart w:id="10" w:name="_Ref68084694"/>
      <w:r>
        <w:t xml:space="preserve">Proposal </w:t>
      </w:r>
      <w:r>
        <w:fldChar w:fldCharType="begin"/>
      </w:r>
      <w:r>
        <w:instrText xml:space="preserve"> SEQ Proposal \* ARABIC </w:instrText>
      </w:r>
      <w:r>
        <w:fldChar w:fldCharType="separate"/>
      </w:r>
      <w:r w:rsidR="002609B9">
        <w:rPr>
          <w:noProof/>
        </w:rPr>
        <w:t>9</w:t>
      </w:r>
      <w:r>
        <w:fldChar w:fldCharType="end"/>
      </w:r>
      <w:r>
        <w:t xml:space="preserve">: </w:t>
      </w:r>
      <w:r w:rsidR="00BD755A">
        <w:t>NCSG in FR2 should be deprioritized in current stage.</w:t>
      </w:r>
      <w:bookmarkEnd w:id="10"/>
    </w:p>
    <w:p w14:paraId="4D331D32" w14:textId="57A85E2E" w:rsidR="00BD755A" w:rsidRPr="00BD755A" w:rsidRDefault="00BD755A" w:rsidP="00BD755A">
      <w:pPr>
        <w:pStyle w:val="Caption"/>
      </w:pPr>
      <w:r>
        <w:t xml:space="preserve">Proposal </w:t>
      </w:r>
      <w:r>
        <w:fldChar w:fldCharType="begin"/>
      </w:r>
      <w:r>
        <w:instrText xml:space="preserve"> SEQ Proposal \* ARABIC </w:instrText>
      </w:r>
      <w:r>
        <w:fldChar w:fldCharType="separate"/>
      </w:r>
      <w:r w:rsidR="002609B9">
        <w:rPr>
          <w:noProof/>
        </w:rPr>
        <w:t>10</w:t>
      </w:r>
      <w:r>
        <w:fldChar w:fldCharType="end"/>
      </w:r>
      <w:r>
        <w:t xml:space="preserve">: measurement in NCSG can be treated as </w:t>
      </w:r>
      <w:r>
        <w:rPr>
          <w:lang w:val="en-US"/>
        </w:rPr>
        <w:t>measurement within gap when defining RRM requirements, such that the existing CSSF design can be reused.</w:t>
      </w:r>
    </w:p>
    <w:p w14:paraId="1ECDAD3A" w14:textId="41E6E852" w:rsidR="00C67329" w:rsidRDefault="002609B9" w:rsidP="00F07076">
      <w:pPr>
        <w:rPr>
          <w:lang w:val="en-US" w:eastAsia="x-none"/>
        </w:rPr>
      </w:pPr>
      <w:r>
        <w:rPr>
          <w:lang w:val="en-US" w:eastAsia="x-none"/>
        </w:rPr>
        <w:t>The last issue we would like to discuss is about the relation between NCSG and ‘NeedForGap’</w:t>
      </w:r>
    </w:p>
    <w:p w14:paraId="29520113" w14:textId="77777777" w:rsidR="002609B9" w:rsidRPr="002609B9" w:rsidRDefault="002609B9" w:rsidP="002609B9">
      <w:pPr>
        <w:numPr>
          <w:ilvl w:val="0"/>
          <w:numId w:val="37"/>
        </w:numPr>
        <w:rPr>
          <w:lang w:val="en-CN" w:eastAsia="x-none"/>
        </w:rPr>
      </w:pPr>
      <w:r w:rsidRPr="002609B9">
        <w:rPr>
          <w:lang w:val="en-US" w:eastAsia="x-none"/>
        </w:rPr>
        <w:t>FFS on How to consider the relation between NCSG and ‘NeedForGap’?</w:t>
      </w:r>
    </w:p>
    <w:p w14:paraId="4A00082C" w14:textId="77777777" w:rsidR="002609B9" w:rsidRPr="002609B9" w:rsidRDefault="002609B9" w:rsidP="002609B9">
      <w:pPr>
        <w:numPr>
          <w:ilvl w:val="1"/>
          <w:numId w:val="37"/>
        </w:numPr>
        <w:rPr>
          <w:lang w:val="en-CN" w:eastAsia="x-none"/>
        </w:rPr>
      </w:pPr>
      <w:r w:rsidRPr="002609B9">
        <w:rPr>
          <w:lang w:val="en-US" w:eastAsia="x-none"/>
        </w:rPr>
        <w:t>Option 1: Rel-17 NCSG to directly reuse Rel-16 ‘NeedForGap’ signalling with ‘no gap’ equaling NCSG.</w:t>
      </w:r>
    </w:p>
    <w:p w14:paraId="7E466AC1" w14:textId="77777777" w:rsidR="002609B9" w:rsidRPr="002609B9" w:rsidRDefault="002609B9" w:rsidP="002609B9">
      <w:pPr>
        <w:numPr>
          <w:ilvl w:val="1"/>
          <w:numId w:val="37"/>
        </w:numPr>
        <w:rPr>
          <w:lang w:val="en-CN" w:eastAsia="x-none"/>
        </w:rPr>
      </w:pPr>
      <w:r w:rsidRPr="002609B9">
        <w:rPr>
          <w:lang w:val="en-US" w:eastAsia="x-none"/>
        </w:rPr>
        <w:t>Option 2: The “NeedForGap” signaling structure can be reused for NR NCSG as a start point</w:t>
      </w:r>
    </w:p>
    <w:p w14:paraId="6E7A6818" w14:textId="77777777" w:rsidR="002609B9" w:rsidRPr="002609B9" w:rsidRDefault="002609B9" w:rsidP="002609B9">
      <w:pPr>
        <w:numPr>
          <w:ilvl w:val="1"/>
          <w:numId w:val="37"/>
        </w:numPr>
        <w:rPr>
          <w:lang w:val="en-CN" w:eastAsia="x-none"/>
        </w:rPr>
      </w:pPr>
      <w:r w:rsidRPr="002609B9">
        <w:rPr>
          <w:lang w:val="en-US" w:eastAsia="x-none"/>
        </w:rPr>
        <w:t>Other options not precluded.</w:t>
      </w:r>
    </w:p>
    <w:p w14:paraId="75F43EB6" w14:textId="20EA6F00" w:rsidR="002609B9" w:rsidRDefault="002609B9" w:rsidP="00F07076">
      <w:pPr>
        <w:rPr>
          <w:lang w:val="en-US" w:eastAsia="x-none"/>
        </w:rPr>
      </w:pPr>
      <w:r>
        <w:rPr>
          <w:lang w:val="en-US" w:eastAsia="x-none"/>
        </w:rPr>
        <w:t>As mentioned above, we are trying to reuse ‘NeedForGap’ signaling design as much as possible. One thing needs to be highlighted is that if all the MOs can be done using NCSG, we still expect network can indicate the NCSG pattern since it is better for network and UE to align the understanding of ML.</w:t>
      </w:r>
    </w:p>
    <w:p w14:paraId="5CB1061A" w14:textId="59ED3476" w:rsidR="002609B9" w:rsidRPr="00F07076" w:rsidRDefault="002609B9" w:rsidP="002609B9">
      <w:pPr>
        <w:pStyle w:val="Caption"/>
        <w:rPr>
          <w:lang w:val="en-US"/>
        </w:rPr>
      </w:pPr>
      <w:r>
        <w:t xml:space="preserve">Proposal </w:t>
      </w:r>
      <w:r>
        <w:fldChar w:fldCharType="begin"/>
      </w:r>
      <w:r>
        <w:instrText xml:space="preserve"> SEQ Proposal \* ARABIC </w:instrText>
      </w:r>
      <w:r>
        <w:fldChar w:fldCharType="separate"/>
      </w:r>
      <w:r>
        <w:rPr>
          <w:noProof/>
        </w:rPr>
        <w:t>11</w:t>
      </w:r>
      <w:r>
        <w:fldChar w:fldCharType="end"/>
      </w:r>
      <w:r>
        <w:t xml:space="preserve">: </w:t>
      </w:r>
      <w:r w:rsidRPr="002609B9">
        <w:rPr>
          <w:lang w:val="en-US"/>
        </w:rPr>
        <w:t>The “NeedForGap” signaling structure can be reused for NR NCSG as a start point</w:t>
      </w:r>
      <w:r>
        <w:rPr>
          <w:lang w:val="en-US"/>
        </w:rPr>
        <w:t>. If all MOs can be done by using NCSG, it is still expected that network can indicate the NCSG pattern such that network and UE can have same understanding of ML, VIL and VIRP.</w:t>
      </w:r>
    </w:p>
    <w:p w14:paraId="1BF5927D" w14:textId="77777777" w:rsidR="00A80014" w:rsidRPr="003346EA" w:rsidRDefault="00A80014" w:rsidP="003346EA">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CCC1361" w14:textId="4F3CB720" w:rsidR="00915769" w:rsidRDefault="005D4A3C" w:rsidP="00CA0B7B">
      <w:pPr>
        <w:jc w:val="both"/>
        <w:rPr>
          <w:rFonts w:cs="v4.2.0"/>
          <w:lang w:val="en-US" w:eastAsia="zh-CN"/>
        </w:rPr>
      </w:pPr>
      <w:r>
        <w:rPr>
          <w:rFonts w:cs="v4.2.0"/>
          <w:lang w:val="en-US" w:eastAsia="zh-CN"/>
        </w:rPr>
        <w:t>In this contribution</w:t>
      </w:r>
      <w:r w:rsidR="007A79D6">
        <w:rPr>
          <w:rFonts w:cs="v4.2.0"/>
          <w:lang w:val="en-US" w:eastAsia="zh-CN"/>
        </w:rPr>
        <w:t xml:space="preserve">, </w:t>
      </w:r>
      <w:r w:rsidR="00524F48">
        <w:rPr>
          <w:rFonts w:cs="v4.2.0"/>
          <w:lang w:val="en-US" w:eastAsia="zh-CN"/>
        </w:rPr>
        <w:t xml:space="preserve">we provide further discussion on </w:t>
      </w:r>
      <w:r w:rsidR="003F1E79">
        <w:rPr>
          <w:rFonts w:cs="v4.2.0"/>
          <w:lang w:val="en-US" w:eastAsia="zh-CN"/>
        </w:rPr>
        <w:t>network controlled small gap</w:t>
      </w:r>
      <w:r w:rsidR="00524F48">
        <w:rPr>
          <w:rFonts w:cs="v4.2.0"/>
          <w:lang w:val="en-US" w:eastAsia="zh-CN"/>
        </w:rPr>
        <w:t>. After discussion the following proposals are made:</w:t>
      </w:r>
    </w:p>
    <w:p w14:paraId="674A2AA7" w14:textId="7CB55BC8"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_Ref68084648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1</w:t>
      </w:r>
      <w:r w:rsidRPr="00D81323">
        <w:rPr>
          <w:b/>
          <w:bCs/>
        </w:rPr>
        <w:t>: RAN4 can consider two use cases for NCSG: 1) UE can use spare RF chain(s) for inter-frequency measurement. 2) UE can enlarge channel bandwidth to perform measurement on contiguous carriers.</w:t>
      </w:r>
      <w:r w:rsidRPr="00D81323">
        <w:rPr>
          <w:rFonts w:cs="v4.2.0"/>
          <w:b/>
          <w:bCs/>
          <w:lang w:val="en-US" w:eastAsia="zh-CN"/>
        </w:rPr>
        <w:fldChar w:fldCharType="end"/>
      </w:r>
    </w:p>
    <w:p w14:paraId="54611C49" w14:textId="548EFA98"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_Ref68084652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2</w:t>
      </w:r>
      <w:r w:rsidRPr="00D81323">
        <w:rPr>
          <w:b/>
          <w:bCs/>
        </w:rPr>
        <w:t>: per-CC is not considered at this stage.</w:t>
      </w:r>
      <w:r w:rsidRPr="00D81323">
        <w:rPr>
          <w:rFonts w:cs="v4.2.0"/>
          <w:b/>
          <w:bCs/>
          <w:lang w:val="en-US" w:eastAsia="zh-CN"/>
        </w:rPr>
        <w:fldChar w:fldCharType="end"/>
      </w:r>
    </w:p>
    <w:p w14:paraId="4134414F" w14:textId="0C308BA3"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_Ref68084657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3</w:t>
      </w:r>
      <w:r w:rsidRPr="00D81323">
        <w:rPr>
          <w:b/>
          <w:bCs/>
        </w:rPr>
        <w:t xml:space="preserve">: </w:t>
      </w:r>
      <w:r w:rsidRPr="00D81323">
        <w:rPr>
          <w:b/>
          <w:bCs/>
          <w:lang w:val="en-US" w:eastAsia="zh-CN"/>
        </w:rPr>
        <w:t>if the support of NCSG and the support of legacy MG patterns can be independently indicated, then all the existing MG patterns can be extended to be NCSG.</w:t>
      </w:r>
      <w:r w:rsidRPr="00D81323">
        <w:rPr>
          <w:rFonts w:cs="v4.2.0"/>
          <w:b/>
          <w:bCs/>
          <w:lang w:val="en-US" w:eastAsia="zh-CN"/>
        </w:rPr>
        <w:fldChar w:fldCharType="end"/>
      </w:r>
    </w:p>
    <w:p w14:paraId="4D39E137" w14:textId="3D69ADB4"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_Ref68084665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4</w:t>
      </w:r>
      <w:r w:rsidRPr="00D81323">
        <w:rPr>
          <w:b/>
          <w:bCs/>
        </w:rPr>
        <w:t xml:space="preserve">: </w:t>
      </w:r>
      <w:r w:rsidRPr="00D81323">
        <w:rPr>
          <w:b/>
          <w:bCs/>
          <w:lang w:val="en-US" w:eastAsia="zh-CN"/>
        </w:rPr>
        <w:t xml:space="preserve">VIL should be explicitly defined as the number of interrupted slots, similar as existing </w:t>
      </w:r>
      <w:r w:rsidRPr="00D81323">
        <w:rPr>
          <w:b/>
          <w:bCs/>
          <w:snapToGrid w:val="0"/>
        </w:rPr>
        <w:t xml:space="preserve">Table </w:t>
      </w:r>
      <w:r w:rsidRPr="00D81323">
        <w:rPr>
          <w:b/>
          <w:bCs/>
          <w:snapToGrid w:val="0"/>
          <w:lang w:eastAsia="ko-KR"/>
        </w:rPr>
        <w:t>9.1.2</w:t>
      </w:r>
      <w:r w:rsidRPr="00D81323">
        <w:rPr>
          <w:b/>
          <w:bCs/>
          <w:snapToGrid w:val="0"/>
        </w:rPr>
        <w:t>-</w:t>
      </w:r>
      <w:r w:rsidRPr="00D81323">
        <w:rPr>
          <w:b/>
          <w:bCs/>
          <w:snapToGrid w:val="0"/>
          <w:lang w:eastAsia="ko-KR"/>
        </w:rPr>
        <w:t>4 in TS38.133.</w:t>
      </w:r>
      <w:r w:rsidRPr="00D81323">
        <w:rPr>
          <w:rFonts w:cs="v4.2.0"/>
          <w:b/>
          <w:bCs/>
          <w:lang w:val="en-US" w:eastAsia="zh-CN"/>
        </w:rPr>
        <w:fldChar w:fldCharType="end"/>
      </w:r>
    </w:p>
    <w:p w14:paraId="173654FD" w14:textId="1A39A2CB"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_Ref68084670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5</w:t>
      </w:r>
      <w:r w:rsidRPr="00D81323">
        <w:rPr>
          <w:b/>
          <w:bCs/>
        </w:rPr>
        <w:t xml:space="preserve">: both per-FR and per-UE NCSG can be supported. </w:t>
      </w:r>
      <w:r w:rsidRPr="00D81323">
        <w:rPr>
          <w:b/>
          <w:bCs/>
          <w:lang w:val="en-US" w:eastAsia="zh-CN"/>
        </w:rPr>
        <w:t>F</w:t>
      </w:r>
      <w:r w:rsidR="00A80014" w:rsidRPr="00A80014">
        <w:rPr>
          <w:b/>
          <w:bCs/>
          <w:lang w:val="en-US" w:eastAsia="zh-CN"/>
        </w:rPr>
        <w:t>or UE supporting per-FR gap, VIL is allowed only on the serving cell in the same FR wherein there is NCSG operation. Otherwise, VIL is allowed on all serving cells</w:t>
      </w:r>
      <w:r w:rsidRPr="00D81323">
        <w:rPr>
          <w:rFonts w:cs="v4.2.0"/>
          <w:b/>
          <w:bCs/>
          <w:lang w:val="en-US" w:eastAsia="zh-CN"/>
        </w:rPr>
        <w:fldChar w:fldCharType="end"/>
      </w:r>
      <w:r w:rsidRPr="00D81323">
        <w:rPr>
          <w:rFonts w:cs="v4.2.0"/>
          <w:b/>
          <w:bCs/>
          <w:lang w:val="en-US" w:eastAsia="zh-CN"/>
        </w:rPr>
        <w:t>.</w:t>
      </w:r>
    </w:p>
    <w:p w14:paraId="0B775966" w14:textId="3026F567"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_Ref68084678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6</w:t>
      </w:r>
      <w:r w:rsidRPr="00D81323">
        <w:rPr>
          <w:b/>
          <w:bCs/>
        </w:rPr>
        <w:t xml:space="preserve">: </w:t>
      </w:r>
      <w:r w:rsidRPr="00D81323">
        <w:rPr>
          <w:b/>
          <w:bCs/>
          <w:lang w:val="en-US" w:eastAsia="zh-CN"/>
        </w:rPr>
        <w:t xml:space="preserve">If existing MG pattern table </w:t>
      </w:r>
      <w:r w:rsidRPr="00D81323">
        <w:rPr>
          <w:b/>
          <w:bCs/>
          <w:lang w:eastAsia="zh-CN"/>
        </w:rPr>
        <w:t xml:space="preserve">9.1.2-1 is to be reused, then implicit configuration of NCSG can work, i.e. network would still configure MG pattern as legacy and UE </w:t>
      </w:r>
      <w:r w:rsidR="002E7540" w:rsidRPr="002E7540">
        <w:rPr>
          <w:b/>
          <w:bCs/>
          <w:lang w:val="en-US" w:eastAsia="zh-CN"/>
        </w:rPr>
        <w:t>may introduce VILs at the start and stop of a configured MG while ML is the same as MGL and VIRP is the same as MGRP</w:t>
      </w:r>
      <w:r w:rsidRPr="00D81323">
        <w:rPr>
          <w:b/>
          <w:bCs/>
          <w:lang w:val="en-US" w:eastAsia="zh-CN"/>
        </w:rPr>
        <w:t>.</w:t>
      </w:r>
      <w:r w:rsidRPr="00D81323">
        <w:rPr>
          <w:rFonts w:cs="v4.2.0"/>
          <w:b/>
          <w:bCs/>
          <w:lang w:val="en-US" w:eastAsia="zh-CN"/>
        </w:rPr>
        <w:fldChar w:fldCharType="end"/>
      </w:r>
    </w:p>
    <w:p w14:paraId="4174DF20" w14:textId="61A137F9"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_Ref68084683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7</w:t>
      </w:r>
      <w:r w:rsidRPr="00D81323">
        <w:rPr>
          <w:b/>
          <w:bCs/>
        </w:rPr>
        <w:t>:</w:t>
      </w:r>
      <w:r w:rsidRPr="00D81323">
        <w:rPr>
          <w:b/>
          <w:bCs/>
          <w:lang w:val="en-US" w:eastAsia="zh-CN"/>
        </w:rPr>
        <w:t xml:space="preserve"> if NCSG patterns are to be defined in a new table, then explicit indicator of NCSG would be needed. The principle is that both UE and network shall have same understanding of VIL, ML and VIRP.</w:t>
      </w:r>
      <w:r w:rsidRPr="00D81323">
        <w:rPr>
          <w:rFonts w:cs="v4.2.0"/>
          <w:b/>
          <w:bCs/>
          <w:lang w:val="en-US" w:eastAsia="zh-CN"/>
        </w:rPr>
        <w:fldChar w:fldCharType="end"/>
      </w:r>
    </w:p>
    <w:p w14:paraId="1128376A" w14:textId="00ED3735" w:rsidR="00D81323" w:rsidRPr="00D81323" w:rsidRDefault="00D81323" w:rsidP="00CA0B7B">
      <w:pPr>
        <w:jc w:val="both"/>
        <w:rPr>
          <w:rFonts w:cs="v4.2.0"/>
          <w:b/>
          <w:bCs/>
          <w:lang w:val="en-US" w:eastAsia="zh-CN"/>
        </w:rPr>
      </w:pPr>
      <w:r w:rsidRPr="00D81323">
        <w:rPr>
          <w:rFonts w:cs="v4.2.0"/>
          <w:b/>
          <w:bCs/>
          <w:lang w:val="en-US" w:eastAsia="zh-CN"/>
        </w:rPr>
        <w:fldChar w:fldCharType="begin"/>
      </w:r>
      <w:r w:rsidRPr="00D81323">
        <w:rPr>
          <w:rFonts w:cs="v4.2.0"/>
          <w:b/>
          <w:bCs/>
          <w:lang w:val="en-US" w:eastAsia="zh-CN"/>
        </w:rPr>
        <w:instrText xml:space="preserve"> REF _Ref68084689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8</w:t>
      </w:r>
      <w:r w:rsidRPr="00D81323">
        <w:rPr>
          <w:b/>
          <w:bCs/>
        </w:rPr>
        <w:t>: existing per-UE and per-FR capability can apply to NCSG.</w:t>
      </w:r>
      <w:r w:rsidRPr="00D81323">
        <w:rPr>
          <w:rFonts w:cs="v4.2.0"/>
          <w:b/>
          <w:bCs/>
          <w:lang w:val="en-US" w:eastAsia="zh-CN"/>
        </w:rPr>
        <w:fldChar w:fldCharType="end"/>
      </w:r>
    </w:p>
    <w:p w14:paraId="37811E60" w14:textId="276BA760" w:rsidR="00D81323" w:rsidRPr="00D81323" w:rsidRDefault="00D81323" w:rsidP="00CA0B7B">
      <w:pPr>
        <w:jc w:val="both"/>
        <w:rPr>
          <w:rFonts w:cs="v4.2.0"/>
          <w:b/>
          <w:bCs/>
          <w:lang w:val="en-US" w:eastAsia="zh-CN"/>
        </w:rPr>
      </w:pPr>
      <w:r w:rsidRPr="00D81323">
        <w:rPr>
          <w:rFonts w:cs="v4.2.0"/>
          <w:b/>
          <w:bCs/>
          <w:lang w:val="en-US" w:eastAsia="zh-CN"/>
        </w:rPr>
        <w:lastRenderedPageBreak/>
        <w:fldChar w:fldCharType="begin"/>
      </w:r>
      <w:r w:rsidRPr="00D81323">
        <w:rPr>
          <w:rFonts w:cs="v4.2.0"/>
          <w:b/>
          <w:bCs/>
          <w:lang w:val="en-US" w:eastAsia="zh-CN"/>
        </w:rPr>
        <w:instrText xml:space="preserve"> REF _Ref68084694 \h </w:instrText>
      </w:r>
      <w:r>
        <w:rPr>
          <w:rFonts w:cs="v4.2.0"/>
          <w:b/>
          <w:bCs/>
          <w:lang w:val="en-US" w:eastAsia="zh-CN"/>
        </w:rPr>
        <w:instrText xml:space="preserve"> \* MERGEFORMAT </w:instrText>
      </w:r>
      <w:r w:rsidRPr="00D81323">
        <w:rPr>
          <w:rFonts w:cs="v4.2.0"/>
          <w:b/>
          <w:bCs/>
          <w:lang w:val="en-US" w:eastAsia="zh-CN"/>
        </w:rPr>
      </w:r>
      <w:r w:rsidRPr="00D81323">
        <w:rPr>
          <w:rFonts w:cs="v4.2.0"/>
          <w:b/>
          <w:bCs/>
          <w:lang w:val="en-US" w:eastAsia="zh-CN"/>
        </w:rPr>
        <w:fldChar w:fldCharType="separate"/>
      </w:r>
      <w:r w:rsidRPr="00D81323">
        <w:rPr>
          <w:b/>
          <w:bCs/>
        </w:rPr>
        <w:t xml:space="preserve">Proposal </w:t>
      </w:r>
      <w:r w:rsidRPr="00D81323">
        <w:rPr>
          <w:b/>
          <w:bCs/>
          <w:noProof/>
        </w:rPr>
        <w:t>9</w:t>
      </w:r>
      <w:r w:rsidRPr="00D81323">
        <w:rPr>
          <w:b/>
          <w:bCs/>
        </w:rPr>
        <w:t>: NCSG in FR2 should be deprioritized in current stage.</w:t>
      </w:r>
      <w:r w:rsidRPr="00D81323">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0C900888" w:rsidR="00CB1B8B" w:rsidRPr="00CA0B7B" w:rsidRDefault="00DD7AE0" w:rsidP="00CA0B7B">
      <w:pPr>
        <w:pStyle w:val="Reference"/>
        <w:keepLines/>
        <w:numPr>
          <w:ilvl w:val="0"/>
          <w:numId w:val="13"/>
        </w:numPr>
        <w:rPr>
          <w:bCs/>
          <w:lang w:val="en-CN"/>
        </w:rPr>
      </w:pPr>
      <w:r w:rsidRPr="00CB10D5">
        <w:rPr>
          <w:bCs/>
        </w:rPr>
        <w:t>R</w:t>
      </w:r>
      <w:r w:rsidR="00CA0B7B">
        <w:rPr>
          <w:bCs/>
        </w:rPr>
        <w:t xml:space="preserve">4-2103677, </w:t>
      </w:r>
      <w:r w:rsidR="00CA0B7B" w:rsidRPr="00CA0B7B">
        <w:rPr>
          <w:bCs/>
          <w:lang w:val="en-US"/>
        </w:rPr>
        <w:t xml:space="preserve">WF on R17 NR MG enhancements – </w:t>
      </w:r>
      <w:r w:rsidR="00CA0B7B" w:rsidRPr="00CA0B7B">
        <w:rPr>
          <w:bCs/>
        </w:rPr>
        <w:t>Pre-configured MG patterns and NCSG</w:t>
      </w:r>
      <w:r w:rsidR="00CA0B7B">
        <w:rPr>
          <w:bCs/>
          <w:lang w:val="en-US"/>
        </w:rPr>
        <w:t>, Intel</w:t>
      </w:r>
    </w:p>
    <w:sectPr w:rsidR="00CB1B8B" w:rsidRPr="00CA0B7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4C749" w14:textId="77777777" w:rsidR="00033595" w:rsidRDefault="00033595">
      <w:pPr>
        <w:spacing w:after="0"/>
      </w:pPr>
      <w:r>
        <w:separator/>
      </w:r>
    </w:p>
  </w:endnote>
  <w:endnote w:type="continuationSeparator" w:id="0">
    <w:p w14:paraId="7427C7EF" w14:textId="77777777" w:rsidR="00033595" w:rsidRDefault="00033595">
      <w:pPr>
        <w:spacing w:after="0"/>
      </w:pPr>
      <w:r>
        <w:continuationSeparator/>
      </w:r>
    </w:p>
  </w:endnote>
  <w:endnote w:type="continuationNotice" w:id="1">
    <w:p w14:paraId="418C319B" w14:textId="77777777" w:rsidR="00033595" w:rsidRDefault="00033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A10E4" w14:textId="77777777" w:rsidR="00033595" w:rsidRDefault="00033595">
      <w:pPr>
        <w:spacing w:after="0"/>
      </w:pPr>
      <w:r>
        <w:separator/>
      </w:r>
    </w:p>
  </w:footnote>
  <w:footnote w:type="continuationSeparator" w:id="0">
    <w:p w14:paraId="73C909F7" w14:textId="77777777" w:rsidR="00033595" w:rsidRDefault="00033595">
      <w:pPr>
        <w:spacing w:after="0"/>
      </w:pPr>
      <w:r>
        <w:continuationSeparator/>
      </w:r>
    </w:p>
  </w:footnote>
  <w:footnote w:type="continuationNotice" w:id="1">
    <w:p w14:paraId="72DADB1F" w14:textId="77777777" w:rsidR="00033595" w:rsidRDefault="000335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286D08"/>
    <w:multiLevelType w:val="hybridMultilevel"/>
    <w:tmpl w:val="4FA6F8FC"/>
    <w:lvl w:ilvl="0" w:tplc="A486181C">
      <w:start w:val="1"/>
      <w:numFmt w:val="bullet"/>
      <w:lvlText w:val="•"/>
      <w:lvlJc w:val="left"/>
      <w:pPr>
        <w:tabs>
          <w:tab w:val="num" w:pos="720"/>
        </w:tabs>
        <w:ind w:left="720" w:hanging="360"/>
      </w:pPr>
      <w:rPr>
        <w:rFonts w:ascii="Arial" w:hAnsi="Arial" w:hint="default"/>
      </w:rPr>
    </w:lvl>
    <w:lvl w:ilvl="1" w:tplc="6BEE10AC">
      <w:numFmt w:val="bullet"/>
      <w:lvlText w:val="–"/>
      <w:lvlJc w:val="left"/>
      <w:pPr>
        <w:tabs>
          <w:tab w:val="num" w:pos="1440"/>
        </w:tabs>
        <w:ind w:left="1440" w:hanging="360"/>
      </w:pPr>
      <w:rPr>
        <w:rFonts w:ascii="Arial" w:hAnsi="Arial" w:hint="default"/>
      </w:rPr>
    </w:lvl>
    <w:lvl w:ilvl="2" w:tplc="E9526C78" w:tentative="1">
      <w:start w:val="1"/>
      <w:numFmt w:val="bullet"/>
      <w:lvlText w:val="•"/>
      <w:lvlJc w:val="left"/>
      <w:pPr>
        <w:tabs>
          <w:tab w:val="num" w:pos="2160"/>
        </w:tabs>
        <w:ind w:left="2160" w:hanging="360"/>
      </w:pPr>
      <w:rPr>
        <w:rFonts w:ascii="Arial" w:hAnsi="Arial" w:hint="default"/>
      </w:rPr>
    </w:lvl>
    <w:lvl w:ilvl="3" w:tplc="A0DA45D2" w:tentative="1">
      <w:start w:val="1"/>
      <w:numFmt w:val="bullet"/>
      <w:lvlText w:val="•"/>
      <w:lvlJc w:val="left"/>
      <w:pPr>
        <w:tabs>
          <w:tab w:val="num" w:pos="2880"/>
        </w:tabs>
        <w:ind w:left="2880" w:hanging="360"/>
      </w:pPr>
      <w:rPr>
        <w:rFonts w:ascii="Arial" w:hAnsi="Arial" w:hint="default"/>
      </w:rPr>
    </w:lvl>
    <w:lvl w:ilvl="4" w:tplc="F93AE106" w:tentative="1">
      <w:start w:val="1"/>
      <w:numFmt w:val="bullet"/>
      <w:lvlText w:val="•"/>
      <w:lvlJc w:val="left"/>
      <w:pPr>
        <w:tabs>
          <w:tab w:val="num" w:pos="3600"/>
        </w:tabs>
        <w:ind w:left="3600" w:hanging="360"/>
      </w:pPr>
      <w:rPr>
        <w:rFonts w:ascii="Arial" w:hAnsi="Arial" w:hint="default"/>
      </w:rPr>
    </w:lvl>
    <w:lvl w:ilvl="5" w:tplc="3F62F9D8" w:tentative="1">
      <w:start w:val="1"/>
      <w:numFmt w:val="bullet"/>
      <w:lvlText w:val="•"/>
      <w:lvlJc w:val="left"/>
      <w:pPr>
        <w:tabs>
          <w:tab w:val="num" w:pos="4320"/>
        </w:tabs>
        <w:ind w:left="4320" w:hanging="360"/>
      </w:pPr>
      <w:rPr>
        <w:rFonts w:ascii="Arial" w:hAnsi="Arial" w:hint="default"/>
      </w:rPr>
    </w:lvl>
    <w:lvl w:ilvl="6" w:tplc="7AB61F50" w:tentative="1">
      <w:start w:val="1"/>
      <w:numFmt w:val="bullet"/>
      <w:lvlText w:val="•"/>
      <w:lvlJc w:val="left"/>
      <w:pPr>
        <w:tabs>
          <w:tab w:val="num" w:pos="5040"/>
        </w:tabs>
        <w:ind w:left="5040" w:hanging="360"/>
      </w:pPr>
      <w:rPr>
        <w:rFonts w:ascii="Arial" w:hAnsi="Arial" w:hint="default"/>
      </w:rPr>
    </w:lvl>
    <w:lvl w:ilvl="7" w:tplc="C6B6B496" w:tentative="1">
      <w:start w:val="1"/>
      <w:numFmt w:val="bullet"/>
      <w:lvlText w:val="•"/>
      <w:lvlJc w:val="left"/>
      <w:pPr>
        <w:tabs>
          <w:tab w:val="num" w:pos="5760"/>
        </w:tabs>
        <w:ind w:left="5760" w:hanging="360"/>
      </w:pPr>
      <w:rPr>
        <w:rFonts w:ascii="Arial" w:hAnsi="Arial" w:hint="default"/>
      </w:rPr>
    </w:lvl>
    <w:lvl w:ilvl="8" w:tplc="8BBE75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4"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B3E9F"/>
    <w:multiLevelType w:val="hybridMultilevel"/>
    <w:tmpl w:val="1ECCE91E"/>
    <w:lvl w:ilvl="0" w:tplc="E334D98C">
      <w:start w:val="1"/>
      <w:numFmt w:val="bullet"/>
      <w:lvlText w:val="•"/>
      <w:lvlJc w:val="left"/>
      <w:pPr>
        <w:tabs>
          <w:tab w:val="num" w:pos="720"/>
        </w:tabs>
        <w:ind w:left="720" w:hanging="360"/>
      </w:pPr>
      <w:rPr>
        <w:rFonts w:ascii="Arial" w:hAnsi="Arial" w:hint="default"/>
      </w:rPr>
    </w:lvl>
    <w:lvl w:ilvl="1" w:tplc="48347EDE">
      <w:numFmt w:val="bullet"/>
      <w:lvlText w:val="–"/>
      <w:lvlJc w:val="left"/>
      <w:pPr>
        <w:tabs>
          <w:tab w:val="num" w:pos="1440"/>
        </w:tabs>
        <w:ind w:left="1440" w:hanging="360"/>
      </w:pPr>
      <w:rPr>
        <w:rFonts w:ascii="Arial" w:hAnsi="Arial" w:hint="default"/>
      </w:rPr>
    </w:lvl>
    <w:lvl w:ilvl="2" w:tplc="8AEE6690" w:tentative="1">
      <w:start w:val="1"/>
      <w:numFmt w:val="bullet"/>
      <w:lvlText w:val="•"/>
      <w:lvlJc w:val="left"/>
      <w:pPr>
        <w:tabs>
          <w:tab w:val="num" w:pos="2160"/>
        </w:tabs>
        <w:ind w:left="2160" w:hanging="360"/>
      </w:pPr>
      <w:rPr>
        <w:rFonts w:ascii="Arial" w:hAnsi="Arial" w:hint="default"/>
      </w:rPr>
    </w:lvl>
    <w:lvl w:ilvl="3" w:tplc="319CB968" w:tentative="1">
      <w:start w:val="1"/>
      <w:numFmt w:val="bullet"/>
      <w:lvlText w:val="•"/>
      <w:lvlJc w:val="left"/>
      <w:pPr>
        <w:tabs>
          <w:tab w:val="num" w:pos="2880"/>
        </w:tabs>
        <w:ind w:left="2880" w:hanging="360"/>
      </w:pPr>
      <w:rPr>
        <w:rFonts w:ascii="Arial" w:hAnsi="Arial" w:hint="default"/>
      </w:rPr>
    </w:lvl>
    <w:lvl w:ilvl="4" w:tplc="43DA5C7A" w:tentative="1">
      <w:start w:val="1"/>
      <w:numFmt w:val="bullet"/>
      <w:lvlText w:val="•"/>
      <w:lvlJc w:val="left"/>
      <w:pPr>
        <w:tabs>
          <w:tab w:val="num" w:pos="3600"/>
        </w:tabs>
        <w:ind w:left="3600" w:hanging="360"/>
      </w:pPr>
      <w:rPr>
        <w:rFonts w:ascii="Arial" w:hAnsi="Arial" w:hint="default"/>
      </w:rPr>
    </w:lvl>
    <w:lvl w:ilvl="5" w:tplc="45DEE972" w:tentative="1">
      <w:start w:val="1"/>
      <w:numFmt w:val="bullet"/>
      <w:lvlText w:val="•"/>
      <w:lvlJc w:val="left"/>
      <w:pPr>
        <w:tabs>
          <w:tab w:val="num" w:pos="4320"/>
        </w:tabs>
        <w:ind w:left="4320" w:hanging="360"/>
      </w:pPr>
      <w:rPr>
        <w:rFonts w:ascii="Arial" w:hAnsi="Arial" w:hint="default"/>
      </w:rPr>
    </w:lvl>
    <w:lvl w:ilvl="6" w:tplc="45482BA8" w:tentative="1">
      <w:start w:val="1"/>
      <w:numFmt w:val="bullet"/>
      <w:lvlText w:val="•"/>
      <w:lvlJc w:val="left"/>
      <w:pPr>
        <w:tabs>
          <w:tab w:val="num" w:pos="5040"/>
        </w:tabs>
        <w:ind w:left="5040" w:hanging="360"/>
      </w:pPr>
      <w:rPr>
        <w:rFonts w:ascii="Arial" w:hAnsi="Arial" w:hint="default"/>
      </w:rPr>
    </w:lvl>
    <w:lvl w:ilvl="7" w:tplc="562AEC2E" w:tentative="1">
      <w:start w:val="1"/>
      <w:numFmt w:val="bullet"/>
      <w:lvlText w:val="•"/>
      <w:lvlJc w:val="left"/>
      <w:pPr>
        <w:tabs>
          <w:tab w:val="num" w:pos="5760"/>
        </w:tabs>
        <w:ind w:left="5760" w:hanging="360"/>
      </w:pPr>
      <w:rPr>
        <w:rFonts w:ascii="Arial" w:hAnsi="Arial" w:hint="default"/>
      </w:rPr>
    </w:lvl>
    <w:lvl w:ilvl="8" w:tplc="440CF9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D2480F"/>
    <w:multiLevelType w:val="hybridMultilevel"/>
    <w:tmpl w:val="7068C46A"/>
    <w:lvl w:ilvl="0" w:tplc="8F8C6E1A">
      <w:start w:val="1"/>
      <w:numFmt w:val="bullet"/>
      <w:lvlText w:val="•"/>
      <w:lvlJc w:val="left"/>
      <w:pPr>
        <w:tabs>
          <w:tab w:val="num" w:pos="720"/>
        </w:tabs>
        <w:ind w:left="720" w:hanging="360"/>
      </w:pPr>
      <w:rPr>
        <w:rFonts w:ascii="Arial" w:hAnsi="Arial" w:hint="default"/>
      </w:rPr>
    </w:lvl>
    <w:lvl w:ilvl="1" w:tplc="70D62004" w:tentative="1">
      <w:start w:val="1"/>
      <w:numFmt w:val="bullet"/>
      <w:lvlText w:val="•"/>
      <w:lvlJc w:val="left"/>
      <w:pPr>
        <w:tabs>
          <w:tab w:val="num" w:pos="1440"/>
        </w:tabs>
        <w:ind w:left="1440" w:hanging="360"/>
      </w:pPr>
      <w:rPr>
        <w:rFonts w:ascii="Arial" w:hAnsi="Arial" w:hint="default"/>
      </w:rPr>
    </w:lvl>
    <w:lvl w:ilvl="2" w:tplc="C56AFF06" w:tentative="1">
      <w:start w:val="1"/>
      <w:numFmt w:val="bullet"/>
      <w:lvlText w:val="•"/>
      <w:lvlJc w:val="left"/>
      <w:pPr>
        <w:tabs>
          <w:tab w:val="num" w:pos="2160"/>
        </w:tabs>
        <w:ind w:left="2160" w:hanging="360"/>
      </w:pPr>
      <w:rPr>
        <w:rFonts w:ascii="Arial" w:hAnsi="Arial" w:hint="default"/>
      </w:rPr>
    </w:lvl>
    <w:lvl w:ilvl="3" w:tplc="15CEE4B4" w:tentative="1">
      <w:start w:val="1"/>
      <w:numFmt w:val="bullet"/>
      <w:lvlText w:val="•"/>
      <w:lvlJc w:val="left"/>
      <w:pPr>
        <w:tabs>
          <w:tab w:val="num" w:pos="2880"/>
        </w:tabs>
        <w:ind w:left="2880" w:hanging="360"/>
      </w:pPr>
      <w:rPr>
        <w:rFonts w:ascii="Arial" w:hAnsi="Arial" w:hint="default"/>
      </w:rPr>
    </w:lvl>
    <w:lvl w:ilvl="4" w:tplc="531843A0" w:tentative="1">
      <w:start w:val="1"/>
      <w:numFmt w:val="bullet"/>
      <w:lvlText w:val="•"/>
      <w:lvlJc w:val="left"/>
      <w:pPr>
        <w:tabs>
          <w:tab w:val="num" w:pos="3600"/>
        </w:tabs>
        <w:ind w:left="3600" w:hanging="360"/>
      </w:pPr>
      <w:rPr>
        <w:rFonts w:ascii="Arial" w:hAnsi="Arial" w:hint="default"/>
      </w:rPr>
    </w:lvl>
    <w:lvl w:ilvl="5" w:tplc="9FEA7336" w:tentative="1">
      <w:start w:val="1"/>
      <w:numFmt w:val="bullet"/>
      <w:lvlText w:val="•"/>
      <w:lvlJc w:val="left"/>
      <w:pPr>
        <w:tabs>
          <w:tab w:val="num" w:pos="4320"/>
        </w:tabs>
        <w:ind w:left="4320" w:hanging="360"/>
      </w:pPr>
      <w:rPr>
        <w:rFonts w:ascii="Arial" w:hAnsi="Arial" w:hint="default"/>
      </w:rPr>
    </w:lvl>
    <w:lvl w:ilvl="6" w:tplc="72F22B38" w:tentative="1">
      <w:start w:val="1"/>
      <w:numFmt w:val="bullet"/>
      <w:lvlText w:val="•"/>
      <w:lvlJc w:val="left"/>
      <w:pPr>
        <w:tabs>
          <w:tab w:val="num" w:pos="5040"/>
        </w:tabs>
        <w:ind w:left="5040" w:hanging="360"/>
      </w:pPr>
      <w:rPr>
        <w:rFonts w:ascii="Arial" w:hAnsi="Arial" w:hint="default"/>
      </w:rPr>
    </w:lvl>
    <w:lvl w:ilvl="7" w:tplc="6BD07AD8" w:tentative="1">
      <w:start w:val="1"/>
      <w:numFmt w:val="bullet"/>
      <w:lvlText w:val="•"/>
      <w:lvlJc w:val="left"/>
      <w:pPr>
        <w:tabs>
          <w:tab w:val="num" w:pos="5760"/>
        </w:tabs>
        <w:ind w:left="5760" w:hanging="360"/>
      </w:pPr>
      <w:rPr>
        <w:rFonts w:ascii="Arial" w:hAnsi="Arial" w:hint="default"/>
      </w:rPr>
    </w:lvl>
    <w:lvl w:ilvl="8" w:tplc="54D49D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631D29FE"/>
    <w:multiLevelType w:val="hybridMultilevel"/>
    <w:tmpl w:val="7B804A4E"/>
    <w:lvl w:ilvl="0" w:tplc="0E1241EE">
      <w:start w:val="1"/>
      <w:numFmt w:val="bullet"/>
      <w:lvlText w:val="•"/>
      <w:lvlJc w:val="left"/>
      <w:pPr>
        <w:tabs>
          <w:tab w:val="num" w:pos="720"/>
        </w:tabs>
        <w:ind w:left="720" w:hanging="360"/>
      </w:pPr>
      <w:rPr>
        <w:rFonts w:ascii="Arial" w:hAnsi="Arial" w:hint="default"/>
      </w:rPr>
    </w:lvl>
    <w:lvl w:ilvl="1" w:tplc="D7EADB84">
      <w:numFmt w:val="bullet"/>
      <w:lvlText w:val="–"/>
      <w:lvlJc w:val="left"/>
      <w:pPr>
        <w:tabs>
          <w:tab w:val="num" w:pos="1440"/>
        </w:tabs>
        <w:ind w:left="1440" w:hanging="360"/>
      </w:pPr>
      <w:rPr>
        <w:rFonts w:ascii="Arial" w:hAnsi="Arial" w:hint="default"/>
      </w:rPr>
    </w:lvl>
    <w:lvl w:ilvl="2" w:tplc="F638477A">
      <w:numFmt w:val="bullet"/>
      <w:lvlText w:val="•"/>
      <w:lvlJc w:val="left"/>
      <w:pPr>
        <w:tabs>
          <w:tab w:val="num" w:pos="2160"/>
        </w:tabs>
        <w:ind w:left="2160" w:hanging="360"/>
      </w:pPr>
      <w:rPr>
        <w:rFonts w:ascii="Arial" w:hAnsi="Arial" w:hint="default"/>
      </w:rPr>
    </w:lvl>
    <w:lvl w:ilvl="3" w:tplc="6CE2BB5A" w:tentative="1">
      <w:start w:val="1"/>
      <w:numFmt w:val="bullet"/>
      <w:lvlText w:val="•"/>
      <w:lvlJc w:val="left"/>
      <w:pPr>
        <w:tabs>
          <w:tab w:val="num" w:pos="2880"/>
        </w:tabs>
        <w:ind w:left="2880" w:hanging="360"/>
      </w:pPr>
      <w:rPr>
        <w:rFonts w:ascii="Arial" w:hAnsi="Arial" w:hint="default"/>
      </w:rPr>
    </w:lvl>
    <w:lvl w:ilvl="4" w:tplc="FAC28AA4" w:tentative="1">
      <w:start w:val="1"/>
      <w:numFmt w:val="bullet"/>
      <w:lvlText w:val="•"/>
      <w:lvlJc w:val="left"/>
      <w:pPr>
        <w:tabs>
          <w:tab w:val="num" w:pos="3600"/>
        </w:tabs>
        <w:ind w:left="3600" w:hanging="360"/>
      </w:pPr>
      <w:rPr>
        <w:rFonts w:ascii="Arial" w:hAnsi="Arial" w:hint="default"/>
      </w:rPr>
    </w:lvl>
    <w:lvl w:ilvl="5" w:tplc="46742E1A" w:tentative="1">
      <w:start w:val="1"/>
      <w:numFmt w:val="bullet"/>
      <w:lvlText w:val="•"/>
      <w:lvlJc w:val="left"/>
      <w:pPr>
        <w:tabs>
          <w:tab w:val="num" w:pos="4320"/>
        </w:tabs>
        <w:ind w:left="4320" w:hanging="360"/>
      </w:pPr>
      <w:rPr>
        <w:rFonts w:ascii="Arial" w:hAnsi="Arial" w:hint="default"/>
      </w:rPr>
    </w:lvl>
    <w:lvl w:ilvl="6" w:tplc="14CC1B52" w:tentative="1">
      <w:start w:val="1"/>
      <w:numFmt w:val="bullet"/>
      <w:lvlText w:val="•"/>
      <w:lvlJc w:val="left"/>
      <w:pPr>
        <w:tabs>
          <w:tab w:val="num" w:pos="5040"/>
        </w:tabs>
        <w:ind w:left="5040" w:hanging="360"/>
      </w:pPr>
      <w:rPr>
        <w:rFonts w:ascii="Arial" w:hAnsi="Arial" w:hint="default"/>
      </w:rPr>
    </w:lvl>
    <w:lvl w:ilvl="7" w:tplc="5ACCD20C" w:tentative="1">
      <w:start w:val="1"/>
      <w:numFmt w:val="bullet"/>
      <w:lvlText w:val="•"/>
      <w:lvlJc w:val="left"/>
      <w:pPr>
        <w:tabs>
          <w:tab w:val="num" w:pos="5760"/>
        </w:tabs>
        <w:ind w:left="5760" w:hanging="360"/>
      </w:pPr>
      <w:rPr>
        <w:rFonts w:ascii="Arial" w:hAnsi="Arial" w:hint="default"/>
      </w:rPr>
    </w:lvl>
    <w:lvl w:ilvl="8" w:tplc="AA0E4C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53039A"/>
    <w:multiLevelType w:val="hybridMultilevel"/>
    <w:tmpl w:val="CDF26AB8"/>
    <w:lvl w:ilvl="0" w:tplc="767CFA52">
      <w:start w:val="1"/>
      <w:numFmt w:val="bullet"/>
      <w:lvlText w:val="•"/>
      <w:lvlJc w:val="left"/>
      <w:pPr>
        <w:tabs>
          <w:tab w:val="num" w:pos="720"/>
        </w:tabs>
        <w:ind w:left="720" w:hanging="360"/>
      </w:pPr>
      <w:rPr>
        <w:rFonts w:ascii="Arial" w:hAnsi="Arial" w:hint="default"/>
      </w:rPr>
    </w:lvl>
    <w:lvl w:ilvl="1" w:tplc="A3941274">
      <w:numFmt w:val="bullet"/>
      <w:lvlText w:val="–"/>
      <w:lvlJc w:val="left"/>
      <w:pPr>
        <w:tabs>
          <w:tab w:val="num" w:pos="1440"/>
        </w:tabs>
        <w:ind w:left="1440" w:hanging="360"/>
      </w:pPr>
      <w:rPr>
        <w:rFonts w:ascii="Arial" w:hAnsi="Arial" w:hint="default"/>
      </w:rPr>
    </w:lvl>
    <w:lvl w:ilvl="2" w:tplc="6882B0B4">
      <w:numFmt w:val="bullet"/>
      <w:lvlText w:val="•"/>
      <w:lvlJc w:val="left"/>
      <w:pPr>
        <w:tabs>
          <w:tab w:val="num" w:pos="2160"/>
        </w:tabs>
        <w:ind w:left="2160" w:hanging="360"/>
      </w:pPr>
      <w:rPr>
        <w:rFonts w:ascii="Arial" w:hAnsi="Arial" w:hint="default"/>
      </w:rPr>
    </w:lvl>
    <w:lvl w:ilvl="3" w:tplc="63CA96AA" w:tentative="1">
      <w:start w:val="1"/>
      <w:numFmt w:val="bullet"/>
      <w:lvlText w:val="•"/>
      <w:lvlJc w:val="left"/>
      <w:pPr>
        <w:tabs>
          <w:tab w:val="num" w:pos="2880"/>
        </w:tabs>
        <w:ind w:left="2880" w:hanging="360"/>
      </w:pPr>
      <w:rPr>
        <w:rFonts w:ascii="Arial" w:hAnsi="Arial" w:hint="default"/>
      </w:rPr>
    </w:lvl>
    <w:lvl w:ilvl="4" w:tplc="7C54132C" w:tentative="1">
      <w:start w:val="1"/>
      <w:numFmt w:val="bullet"/>
      <w:lvlText w:val="•"/>
      <w:lvlJc w:val="left"/>
      <w:pPr>
        <w:tabs>
          <w:tab w:val="num" w:pos="3600"/>
        </w:tabs>
        <w:ind w:left="3600" w:hanging="360"/>
      </w:pPr>
      <w:rPr>
        <w:rFonts w:ascii="Arial" w:hAnsi="Arial" w:hint="default"/>
      </w:rPr>
    </w:lvl>
    <w:lvl w:ilvl="5" w:tplc="039E0E8C" w:tentative="1">
      <w:start w:val="1"/>
      <w:numFmt w:val="bullet"/>
      <w:lvlText w:val="•"/>
      <w:lvlJc w:val="left"/>
      <w:pPr>
        <w:tabs>
          <w:tab w:val="num" w:pos="4320"/>
        </w:tabs>
        <w:ind w:left="4320" w:hanging="360"/>
      </w:pPr>
      <w:rPr>
        <w:rFonts w:ascii="Arial" w:hAnsi="Arial" w:hint="default"/>
      </w:rPr>
    </w:lvl>
    <w:lvl w:ilvl="6" w:tplc="86C81812" w:tentative="1">
      <w:start w:val="1"/>
      <w:numFmt w:val="bullet"/>
      <w:lvlText w:val="•"/>
      <w:lvlJc w:val="left"/>
      <w:pPr>
        <w:tabs>
          <w:tab w:val="num" w:pos="5040"/>
        </w:tabs>
        <w:ind w:left="5040" w:hanging="360"/>
      </w:pPr>
      <w:rPr>
        <w:rFonts w:ascii="Arial" w:hAnsi="Arial" w:hint="default"/>
      </w:rPr>
    </w:lvl>
    <w:lvl w:ilvl="7" w:tplc="E0E654B8" w:tentative="1">
      <w:start w:val="1"/>
      <w:numFmt w:val="bullet"/>
      <w:lvlText w:val="•"/>
      <w:lvlJc w:val="left"/>
      <w:pPr>
        <w:tabs>
          <w:tab w:val="num" w:pos="5760"/>
        </w:tabs>
        <w:ind w:left="5760" w:hanging="360"/>
      </w:pPr>
      <w:rPr>
        <w:rFonts w:ascii="Arial" w:hAnsi="Arial" w:hint="default"/>
      </w:rPr>
    </w:lvl>
    <w:lvl w:ilvl="8" w:tplc="A93600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F963B9"/>
    <w:multiLevelType w:val="hybridMultilevel"/>
    <w:tmpl w:val="D708D01A"/>
    <w:lvl w:ilvl="0" w:tplc="28BAAF2A">
      <w:start w:val="1"/>
      <w:numFmt w:val="bullet"/>
      <w:lvlText w:val="•"/>
      <w:lvlJc w:val="left"/>
      <w:pPr>
        <w:tabs>
          <w:tab w:val="num" w:pos="720"/>
        </w:tabs>
        <w:ind w:left="720" w:hanging="360"/>
      </w:pPr>
      <w:rPr>
        <w:rFonts w:ascii="Arial" w:hAnsi="Arial" w:hint="default"/>
      </w:rPr>
    </w:lvl>
    <w:lvl w:ilvl="1" w:tplc="687613F4">
      <w:numFmt w:val="bullet"/>
      <w:lvlText w:val="–"/>
      <w:lvlJc w:val="left"/>
      <w:pPr>
        <w:tabs>
          <w:tab w:val="num" w:pos="1440"/>
        </w:tabs>
        <w:ind w:left="1440" w:hanging="360"/>
      </w:pPr>
      <w:rPr>
        <w:rFonts w:ascii="Arial" w:hAnsi="Arial" w:hint="default"/>
      </w:rPr>
    </w:lvl>
    <w:lvl w:ilvl="2" w:tplc="BD96AAFE" w:tentative="1">
      <w:start w:val="1"/>
      <w:numFmt w:val="bullet"/>
      <w:lvlText w:val="•"/>
      <w:lvlJc w:val="left"/>
      <w:pPr>
        <w:tabs>
          <w:tab w:val="num" w:pos="2160"/>
        </w:tabs>
        <w:ind w:left="2160" w:hanging="360"/>
      </w:pPr>
      <w:rPr>
        <w:rFonts w:ascii="Arial" w:hAnsi="Arial" w:hint="default"/>
      </w:rPr>
    </w:lvl>
    <w:lvl w:ilvl="3" w:tplc="78A0F3C2" w:tentative="1">
      <w:start w:val="1"/>
      <w:numFmt w:val="bullet"/>
      <w:lvlText w:val="•"/>
      <w:lvlJc w:val="left"/>
      <w:pPr>
        <w:tabs>
          <w:tab w:val="num" w:pos="2880"/>
        </w:tabs>
        <w:ind w:left="2880" w:hanging="360"/>
      </w:pPr>
      <w:rPr>
        <w:rFonts w:ascii="Arial" w:hAnsi="Arial" w:hint="default"/>
      </w:rPr>
    </w:lvl>
    <w:lvl w:ilvl="4" w:tplc="F1FCFBE0" w:tentative="1">
      <w:start w:val="1"/>
      <w:numFmt w:val="bullet"/>
      <w:lvlText w:val="•"/>
      <w:lvlJc w:val="left"/>
      <w:pPr>
        <w:tabs>
          <w:tab w:val="num" w:pos="3600"/>
        </w:tabs>
        <w:ind w:left="3600" w:hanging="360"/>
      </w:pPr>
      <w:rPr>
        <w:rFonts w:ascii="Arial" w:hAnsi="Arial" w:hint="default"/>
      </w:rPr>
    </w:lvl>
    <w:lvl w:ilvl="5" w:tplc="838E582E" w:tentative="1">
      <w:start w:val="1"/>
      <w:numFmt w:val="bullet"/>
      <w:lvlText w:val="•"/>
      <w:lvlJc w:val="left"/>
      <w:pPr>
        <w:tabs>
          <w:tab w:val="num" w:pos="4320"/>
        </w:tabs>
        <w:ind w:left="4320" w:hanging="360"/>
      </w:pPr>
      <w:rPr>
        <w:rFonts w:ascii="Arial" w:hAnsi="Arial" w:hint="default"/>
      </w:rPr>
    </w:lvl>
    <w:lvl w:ilvl="6" w:tplc="3EA6D62E" w:tentative="1">
      <w:start w:val="1"/>
      <w:numFmt w:val="bullet"/>
      <w:lvlText w:val="•"/>
      <w:lvlJc w:val="left"/>
      <w:pPr>
        <w:tabs>
          <w:tab w:val="num" w:pos="5040"/>
        </w:tabs>
        <w:ind w:left="5040" w:hanging="360"/>
      </w:pPr>
      <w:rPr>
        <w:rFonts w:ascii="Arial" w:hAnsi="Arial" w:hint="default"/>
      </w:rPr>
    </w:lvl>
    <w:lvl w:ilvl="7" w:tplc="428ED77A" w:tentative="1">
      <w:start w:val="1"/>
      <w:numFmt w:val="bullet"/>
      <w:lvlText w:val="•"/>
      <w:lvlJc w:val="left"/>
      <w:pPr>
        <w:tabs>
          <w:tab w:val="num" w:pos="5760"/>
        </w:tabs>
        <w:ind w:left="5760" w:hanging="360"/>
      </w:pPr>
      <w:rPr>
        <w:rFonts w:ascii="Arial" w:hAnsi="Arial" w:hint="default"/>
      </w:rPr>
    </w:lvl>
    <w:lvl w:ilvl="8" w:tplc="0B74A0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8"/>
  </w:num>
  <w:num w:numId="12">
    <w:abstractNumId w:val="28"/>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21"/>
  </w:num>
  <w:num w:numId="21">
    <w:abstractNumId w:val="11"/>
  </w:num>
  <w:num w:numId="22">
    <w:abstractNumId w:val="5"/>
  </w:num>
  <w:num w:numId="23">
    <w:abstractNumId w:val="9"/>
  </w:num>
  <w:num w:numId="24">
    <w:abstractNumId w:val="22"/>
  </w:num>
  <w:num w:numId="25">
    <w:abstractNumId w:val="30"/>
  </w:num>
  <w:num w:numId="26">
    <w:abstractNumId w:val="20"/>
  </w:num>
  <w:num w:numId="2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7"/>
  </w:num>
  <w:num w:numId="30">
    <w:abstractNumId w:val="4"/>
  </w:num>
  <w:num w:numId="31">
    <w:abstractNumId w:val="29"/>
  </w:num>
  <w:num w:numId="32">
    <w:abstractNumId w:val="33"/>
  </w:num>
  <w:num w:numId="33">
    <w:abstractNumId w:val="31"/>
  </w:num>
  <w:num w:numId="34">
    <w:abstractNumId w:val="24"/>
  </w:num>
  <w:num w:numId="35">
    <w:abstractNumId w:val="1"/>
  </w:num>
  <w:num w:numId="36">
    <w:abstractNumId w:val="18"/>
  </w:num>
  <w:num w:numId="3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359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4E3A"/>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631"/>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77D"/>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37FB"/>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1A14"/>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09B9"/>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8D4"/>
    <w:rsid w:val="002B607F"/>
    <w:rsid w:val="002B6C9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1180"/>
    <w:rsid w:val="002E35D6"/>
    <w:rsid w:val="002E3CAE"/>
    <w:rsid w:val="002E48F8"/>
    <w:rsid w:val="002E4A00"/>
    <w:rsid w:val="002E596A"/>
    <w:rsid w:val="002E5BF9"/>
    <w:rsid w:val="002E7540"/>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6EA"/>
    <w:rsid w:val="0033486B"/>
    <w:rsid w:val="00334A27"/>
    <w:rsid w:val="00335B5C"/>
    <w:rsid w:val="00337C0E"/>
    <w:rsid w:val="00340C1B"/>
    <w:rsid w:val="0034137B"/>
    <w:rsid w:val="00341905"/>
    <w:rsid w:val="00341E35"/>
    <w:rsid w:val="0034219A"/>
    <w:rsid w:val="00342FE4"/>
    <w:rsid w:val="0034362E"/>
    <w:rsid w:val="003440A3"/>
    <w:rsid w:val="00345588"/>
    <w:rsid w:val="0035006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C56"/>
    <w:rsid w:val="003F1DC4"/>
    <w:rsid w:val="003F1E79"/>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4F8"/>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1EAD"/>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339"/>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918"/>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5"/>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523"/>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66B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274"/>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0A02"/>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3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E8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4CCF"/>
    <w:rsid w:val="00885480"/>
    <w:rsid w:val="00885DFA"/>
    <w:rsid w:val="00886054"/>
    <w:rsid w:val="00887FA8"/>
    <w:rsid w:val="008935AB"/>
    <w:rsid w:val="00894012"/>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71"/>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D9"/>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0014"/>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64653"/>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55A"/>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2F1"/>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0EE0"/>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4CF"/>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329"/>
    <w:rsid w:val="00C674FA"/>
    <w:rsid w:val="00C67B6F"/>
    <w:rsid w:val="00C70DE2"/>
    <w:rsid w:val="00C71854"/>
    <w:rsid w:val="00C72A48"/>
    <w:rsid w:val="00C72CCA"/>
    <w:rsid w:val="00C73028"/>
    <w:rsid w:val="00C743E9"/>
    <w:rsid w:val="00C74CEB"/>
    <w:rsid w:val="00C77749"/>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0D1C"/>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41B3"/>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23"/>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4B12"/>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405"/>
    <w:rsid w:val="00E70A04"/>
    <w:rsid w:val="00E70FFF"/>
    <w:rsid w:val="00E716E1"/>
    <w:rsid w:val="00E71D33"/>
    <w:rsid w:val="00E72043"/>
    <w:rsid w:val="00E72B95"/>
    <w:rsid w:val="00E738CB"/>
    <w:rsid w:val="00E73A1F"/>
    <w:rsid w:val="00E73E10"/>
    <w:rsid w:val="00E76523"/>
    <w:rsid w:val="00E76A1D"/>
    <w:rsid w:val="00E770DE"/>
    <w:rsid w:val="00E77196"/>
    <w:rsid w:val="00E7740A"/>
    <w:rsid w:val="00E77720"/>
    <w:rsid w:val="00E77EE0"/>
    <w:rsid w:val="00E8032F"/>
    <w:rsid w:val="00E80D6A"/>
    <w:rsid w:val="00E81920"/>
    <w:rsid w:val="00E820E1"/>
    <w:rsid w:val="00E82F46"/>
    <w:rsid w:val="00E83EB0"/>
    <w:rsid w:val="00E84EA5"/>
    <w:rsid w:val="00E85466"/>
    <w:rsid w:val="00E86F5D"/>
    <w:rsid w:val="00E87706"/>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972"/>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076"/>
    <w:rsid w:val="00F078F6"/>
    <w:rsid w:val="00F0799C"/>
    <w:rsid w:val="00F10CEE"/>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4CB6"/>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9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4169141">
      <w:bodyDiv w:val="1"/>
      <w:marLeft w:val="0"/>
      <w:marRight w:val="0"/>
      <w:marTop w:val="0"/>
      <w:marBottom w:val="0"/>
      <w:divBdr>
        <w:top w:val="none" w:sz="0" w:space="0" w:color="auto"/>
        <w:left w:val="none" w:sz="0" w:space="0" w:color="auto"/>
        <w:bottom w:val="none" w:sz="0" w:space="0" w:color="auto"/>
        <w:right w:val="none" w:sz="0" w:space="0" w:color="auto"/>
      </w:divBdr>
      <w:divsChild>
        <w:div w:id="1706178892">
          <w:marLeft w:val="547"/>
          <w:marRight w:val="0"/>
          <w:marTop w:val="154"/>
          <w:marBottom w:val="0"/>
          <w:divBdr>
            <w:top w:val="none" w:sz="0" w:space="0" w:color="auto"/>
            <w:left w:val="none" w:sz="0" w:space="0" w:color="auto"/>
            <w:bottom w:val="none" w:sz="0" w:space="0" w:color="auto"/>
            <w:right w:val="none" w:sz="0" w:space="0" w:color="auto"/>
          </w:divBdr>
        </w:div>
        <w:div w:id="277881308">
          <w:marLeft w:val="1166"/>
          <w:marRight w:val="0"/>
          <w:marTop w:val="134"/>
          <w:marBottom w:val="0"/>
          <w:divBdr>
            <w:top w:val="none" w:sz="0" w:space="0" w:color="auto"/>
            <w:left w:val="none" w:sz="0" w:space="0" w:color="auto"/>
            <w:bottom w:val="none" w:sz="0" w:space="0" w:color="auto"/>
            <w:right w:val="none" w:sz="0" w:space="0" w:color="auto"/>
          </w:divBdr>
        </w:div>
        <w:div w:id="111749296">
          <w:marLeft w:val="1166"/>
          <w:marRight w:val="0"/>
          <w:marTop w:val="134"/>
          <w:marBottom w:val="0"/>
          <w:divBdr>
            <w:top w:val="none" w:sz="0" w:space="0" w:color="auto"/>
            <w:left w:val="none" w:sz="0" w:space="0" w:color="auto"/>
            <w:bottom w:val="none" w:sz="0" w:space="0" w:color="auto"/>
            <w:right w:val="none" w:sz="0" w:space="0" w:color="auto"/>
          </w:divBdr>
        </w:div>
        <w:div w:id="1041127614">
          <w:marLeft w:val="1166"/>
          <w:marRight w:val="0"/>
          <w:marTop w:val="134"/>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5839680">
      <w:bodyDiv w:val="1"/>
      <w:marLeft w:val="0"/>
      <w:marRight w:val="0"/>
      <w:marTop w:val="0"/>
      <w:marBottom w:val="0"/>
      <w:divBdr>
        <w:top w:val="none" w:sz="0" w:space="0" w:color="auto"/>
        <w:left w:val="none" w:sz="0" w:space="0" w:color="auto"/>
        <w:bottom w:val="none" w:sz="0" w:space="0" w:color="auto"/>
        <w:right w:val="none" w:sz="0" w:space="0" w:color="auto"/>
      </w:divBdr>
    </w:div>
    <w:div w:id="30149690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9380615">
      <w:bodyDiv w:val="1"/>
      <w:marLeft w:val="0"/>
      <w:marRight w:val="0"/>
      <w:marTop w:val="0"/>
      <w:marBottom w:val="0"/>
      <w:divBdr>
        <w:top w:val="none" w:sz="0" w:space="0" w:color="auto"/>
        <w:left w:val="none" w:sz="0" w:space="0" w:color="auto"/>
        <w:bottom w:val="none" w:sz="0" w:space="0" w:color="auto"/>
        <w:right w:val="none" w:sz="0" w:space="0" w:color="auto"/>
      </w:divBdr>
      <w:divsChild>
        <w:div w:id="1807158516">
          <w:marLeft w:val="547"/>
          <w:marRight w:val="0"/>
          <w:marTop w:val="154"/>
          <w:marBottom w:val="0"/>
          <w:divBdr>
            <w:top w:val="none" w:sz="0" w:space="0" w:color="auto"/>
            <w:left w:val="none" w:sz="0" w:space="0" w:color="auto"/>
            <w:bottom w:val="none" w:sz="0" w:space="0" w:color="auto"/>
            <w:right w:val="none" w:sz="0" w:space="0" w:color="auto"/>
          </w:divBdr>
        </w:div>
        <w:div w:id="1005324605">
          <w:marLeft w:val="547"/>
          <w:marRight w:val="0"/>
          <w:marTop w:val="154"/>
          <w:marBottom w:val="0"/>
          <w:divBdr>
            <w:top w:val="none" w:sz="0" w:space="0" w:color="auto"/>
            <w:left w:val="none" w:sz="0" w:space="0" w:color="auto"/>
            <w:bottom w:val="none" w:sz="0" w:space="0" w:color="auto"/>
            <w:right w:val="none" w:sz="0" w:space="0" w:color="auto"/>
          </w:divBdr>
        </w:div>
        <w:div w:id="972902069">
          <w:marLeft w:val="547"/>
          <w:marRight w:val="0"/>
          <w:marTop w:val="154"/>
          <w:marBottom w:val="0"/>
          <w:divBdr>
            <w:top w:val="none" w:sz="0" w:space="0" w:color="auto"/>
            <w:left w:val="none" w:sz="0" w:space="0" w:color="auto"/>
            <w:bottom w:val="none" w:sz="0" w:space="0" w:color="auto"/>
            <w:right w:val="none" w:sz="0" w:space="0" w:color="auto"/>
          </w:divBdr>
        </w:div>
        <w:div w:id="219757029">
          <w:marLeft w:val="547"/>
          <w:marRight w:val="0"/>
          <w:marTop w:val="154"/>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45719708">
      <w:bodyDiv w:val="1"/>
      <w:marLeft w:val="0"/>
      <w:marRight w:val="0"/>
      <w:marTop w:val="0"/>
      <w:marBottom w:val="0"/>
      <w:divBdr>
        <w:top w:val="none" w:sz="0" w:space="0" w:color="auto"/>
        <w:left w:val="none" w:sz="0" w:space="0" w:color="auto"/>
        <w:bottom w:val="none" w:sz="0" w:space="0" w:color="auto"/>
        <w:right w:val="none" w:sz="0" w:space="0" w:color="auto"/>
      </w:divBdr>
      <w:divsChild>
        <w:div w:id="2019189883">
          <w:marLeft w:val="547"/>
          <w:marRight w:val="0"/>
          <w:marTop w:val="154"/>
          <w:marBottom w:val="0"/>
          <w:divBdr>
            <w:top w:val="none" w:sz="0" w:space="0" w:color="auto"/>
            <w:left w:val="none" w:sz="0" w:space="0" w:color="auto"/>
            <w:bottom w:val="none" w:sz="0" w:space="0" w:color="auto"/>
            <w:right w:val="none" w:sz="0" w:space="0" w:color="auto"/>
          </w:divBdr>
        </w:div>
        <w:div w:id="1069496504">
          <w:marLeft w:val="1166"/>
          <w:marRight w:val="0"/>
          <w:marTop w:val="134"/>
          <w:marBottom w:val="0"/>
          <w:divBdr>
            <w:top w:val="none" w:sz="0" w:space="0" w:color="auto"/>
            <w:left w:val="none" w:sz="0" w:space="0" w:color="auto"/>
            <w:bottom w:val="none" w:sz="0" w:space="0" w:color="auto"/>
            <w:right w:val="none" w:sz="0" w:space="0" w:color="auto"/>
          </w:divBdr>
        </w:div>
        <w:div w:id="2002348665">
          <w:marLeft w:val="1800"/>
          <w:marRight w:val="0"/>
          <w:marTop w:val="115"/>
          <w:marBottom w:val="0"/>
          <w:divBdr>
            <w:top w:val="none" w:sz="0" w:space="0" w:color="auto"/>
            <w:left w:val="none" w:sz="0" w:space="0" w:color="auto"/>
            <w:bottom w:val="none" w:sz="0" w:space="0" w:color="auto"/>
            <w:right w:val="none" w:sz="0" w:space="0" w:color="auto"/>
          </w:divBdr>
        </w:div>
        <w:div w:id="1954168056">
          <w:marLeft w:val="1800"/>
          <w:marRight w:val="0"/>
          <w:marTop w:val="115"/>
          <w:marBottom w:val="0"/>
          <w:divBdr>
            <w:top w:val="none" w:sz="0" w:space="0" w:color="auto"/>
            <w:left w:val="none" w:sz="0" w:space="0" w:color="auto"/>
            <w:bottom w:val="none" w:sz="0" w:space="0" w:color="auto"/>
            <w:right w:val="none" w:sz="0" w:space="0" w:color="auto"/>
          </w:divBdr>
        </w:div>
        <w:div w:id="1303656275">
          <w:marLeft w:val="1166"/>
          <w:marRight w:val="0"/>
          <w:marTop w:val="134"/>
          <w:marBottom w:val="0"/>
          <w:divBdr>
            <w:top w:val="none" w:sz="0" w:space="0" w:color="auto"/>
            <w:left w:val="none" w:sz="0" w:space="0" w:color="auto"/>
            <w:bottom w:val="none" w:sz="0" w:space="0" w:color="auto"/>
            <w:right w:val="none" w:sz="0" w:space="0" w:color="auto"/>
          </w:divBdr>
        </w:div>
        <w:div w:id="100994180">
          <w:marLeft w:val="547"/>
          <w:marRight w:val="0"/>
          <w:marTop w:val="154"/>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2503898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6606113">
      <w:bodyDiv w:val="1"/>
      <w:marLeft w:val="0"/>
      <w:marRight w:val="0"/>
      <w:marTop w:val="0"/>
      <w:marBottom w:val="0"/>
      <w:divBdr>
        <w:top w:val="none" w:sz="0" w:space="0" w:color="auto"/>
        <w:left w:val="none" w:sz="0" w:space="0" w:color="auto"/>
        <w:bottom w:val="none" w:sz="0" w:space="0" w:color="auto"/>
        <w:right w:val="none" w:sz="0" w:space="0" w:color="auto"/>
      </w:divBdr>
      <w:divsChild>
        <w:div w:id="1750076927">
          <w:marLeft w:val="547"/>
          <w:marRight w:val="0"/>
          <w:marTop w:val="106"/>
          <w:marBottom w:val="0"/>
          <w:divBdr>
            <w:top w:val="none" w:sz="0" w:space="0" w:color="auto"/>
            <w:left w:val="none" w:sz="0" w:space="0" w:color="auto"/>
            <w:bottom w:val="none" w:sz="0" w:space="0" w:color="auto"/>
            <w:right w:val="none" w:sz="0" w:space="0" w:color="auto"/>
          </w:divBdr>
        </w:div>
        <w:div w:id="1295981988">
          <w:marLeft w:val="1166"/>
          <w:marRight w:val="0"/>
          <w:marTop w:val="96"/>
          <w:marBottom w:val="0"/>
          <w:divBdr>
            <w:top w:val="none" w:sz="0" w:space="0" w:color="auto"/>
            <w:left w:val="none" w:sz="0" w:space="0" w:color="auto"/>
            <w:bottom w:val="none" w:sz="0" w:space="0" w:color="auto"/>
            <w:right w:val="none" w:sz="0" w:space="0" w:color="auto"/>
          </w:divBdr>
        </w:div>
        <w:div w:id="679426379">
          <w:marLeft w:val="1800"/>
          <w:marRight w:val="0"/>
          <w:marTop w:val="82"/>
          <w:marBottom w:val="0"/>
          <w:divBdr>
            <w:top w:val="none" w:sz="0" w:space="0" w:color="auto"/>
            <w:left w:val="none" w:sz="0" w:space="0" w:color="auto"/>
            <w:bottom w:val="none" w:sz="0" w:space="0" w:color="auto"/>
            <w:right w:val="none" w:sz="0" w:space="0" w:color="auto"/>
          </w:divBdr>
        </w:div>
        <w:div w:id="1001590545">
          <w:marLeft w:val="1800"/>
          <w:marRight w:val="0"/>
          <w:marTop w:val="82"/>
          <w:marBottom w:val="0"/>
          <w:divBdr>
            <w:top w:val="none" w:sz="0" w:space="0" w:color="auto"/>
            <w:left w:val="none" w:sz="0" w:space="0" w:color="auto"/>
            <w:bottom w:val="none" w:sz="0" w:space="0" w:color="auto"/>
            <w:right w:val="none" w:sz="0" w:space="0" w:color="auto"/>
          </w:divBdr>
        </w:div>
        <w:div w:id="745685647">
          <w:marLeft w:val="1800"/>
          <w:marRight w:val="0"/>
          <w:marTop w:val="82"/>
          <w:marBottom w:val="0"/>
          <w:divBdr>
            <w:top w:val="none" w:sz="0" w:space="0" w:color="auto"/>
            <w:left w:val="none" w:sz="0" w:space="0" w:color="auto"/>
            <w:bottom w:val="none" w:sz="0" w:space="0" w:color="auto"/>
            <w:right w:val="none" w:sz="0" w:space="0" w:color="auto"/>
          </w:divBdr>
        </w:div>
        <w:div w:id="1612125175">
          <w:marLeft w:val="1800"/>
          <w:marRight w:val="0"/>
          <w:marTop w:val="82"/>
          <w:marBottom w:val="0"/>
          <w:divBdr>
            <w:top w:val="none" w:sz="0" w:space="0" w:color="auto"/>
            <w:left w:val="none" w:sz="0" w:space="0" w:color="auto"/>
            <w:bottom w:val="none" w:sz="0" w:space="0" w:color="auto"/>
            <w:right w:val="none" w:sz="0" w:space="0" w:color="auto"/>
          </w:divBdr>
        </w:div>
        <w:div w:id="1898586821">
          <w:marLeft w:val="1800"/>
          <w:marRight w:val="0"/>
          <w:marTop w:val="82"/>
          <w:marBottom w:val="0"/>
          <w:divBdr>
            <w:top w:val="none" w:sz="0" w:space="0" w:color="auto"/>
            <w:left w:val="none" w:sz="0" w:space="0" w:color="auto"/>
            <w:bottom w:val="none" w:sz="0" w:space="0" w:color="auto"/>
            <w:right w:val="none" w:sz="0" w:space="0" w:color="auto"/>
          </w:divBdr>
        </w:div>
        <w:div w:id="960066286">
          <w:marLeft w:val="547"/>
          <w:marRight w:val="0"/>
          <w:marTop w:val="106"/>
          <w:marBottom w:val="0"/>
          <w:divBdr>
            <w:top w:val="none" w:sz="0" w:space="0" w:color="auto"/>
            <w:left w:val="none" w:sz="0" w:space="0" w:color="auto"/>
            <w:bottom w:val="none" w:sz="0" w:space="0" w:color="auto"/>
            <w:right w:val="none" w:sz="0" w:space="0" w:color="auto"/>
          </w:divBdr>
        </w:div>
        <w:div w:id="1093428195">
          <w:marLeft w:val="1166"/>
          <w:marRight w:val="0"/>
          <w:marTop w:val="96"/>
          <w:marBottom w:val="0"/>
          <w:divBdr>
            <w:top w:val="none" w:sz="0" w:space="0" w:color="auto"/>
            <w:left w:val="none" w:sz="0" w:space="0" w:color="auto"/>
            <w:bottom w:val="none" w:sz="0" w:space="0" w:color="auto"/>
            <w:right w:val="none" w:sz="0" w:space="0" w:color="auto"/>
          </w:divBdr>
        </w:div>
        <w:div w:id="694578254">
          <w:marLeft w:val="547"/>
          <w:marRight w:val="0"/>
          <w:marTop w:val="106"/>
          <w:marBottom w:val="0"/>
          <w:divBdr>
            <w:top w:val="none" w:sz="0" w:space="0" w:color="auto"/>
            <w:left w:val="none" w:sz="0" w:space="0" w:color="auto"/>
            <w:bottom w:val="none" w:sz="0" w:space="0" w:color="auto"/>
            <w:right w:val="none" w:sz="0" w:space="0" w:color="auto"/>
          </w:divBdr>
        </w:div>
        <w:div w:id="121995147">
          <w:marLeft w:val="547"/>
          <w:marRight w:val="0"/>
          <w:marTop w:val="106"/>
          <w:marBottom w:val="0"/>
          <w:divBdr>
            <w:top w:val="none" w:sz="0" w:space="0" w:color="auto"/>
            <w:left w:val="none" w:sz="0" w:space="0" w:color="auto"/>
            <w:bottom w:val="none" w:sz="0" w:space="0" w:color="auto"/>
            <w:right w:val="none" w:sz="0" w:space="0" w:color="auto"/>
          </w:divBdr>
        </w:div>
        <w:div w:id="1654677045">
          <w:marLeft w:val="547"/>
          <w:marRight w:val="0"/>
          <w:marTop w:val="106"/>
          <w:marBottom w:val="0"/>
          <w:divBdr>
            <w:top w:val="none" w:sz="0" w:space="0" w:color="auto"/>
            <w:left w:val="none" w:sz="0" w:space="0" w:color="auto"/>
            <w:bottom w:val="none" w:sz="0" w:space="0" w:color="auto"/>
            <w:right w:val="none" w:sz="0" w:space="0" w:color="auto"/>
          </w:divBdr>
        </w:div>
        <w:div w:id="1401903477">
          <w:marLeft w:val="1166"/>
          <w:marRight w:val="0"/>
          <w:marTop w:val="96"/>
          <w:marBottom w:val="0"/>
          <w:divBdr>
            <w:top w:val="none" w:sz="0" w:space="0" w:color="auto"/>
            <w:left w:val="none" w:sz="0" w:space="0" w:color="auto"/>
            <w:bottom w:val="none" w:sz="0" w:space="0" w:color="auto"/>
            <w:right w:val="none" w:sz="0" w:space="0" w:color="auto"/>
          </w:divBdr>
        </w:div>
        <w:div w:id="129831024">
          <w:marLeft w:val="1166"/>
          <w:marRight w:val="0"/>
          <w:marTop w:val="9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813666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1226411">
      <w:bodyDiv w:val="1"/>
      <w:marLeft w:val="0"/>
      <w:marRight w:val="0"/>
      <w:marTop w:val="0"/>
      <w:marBottom w:val="0"/>
      <w:divBdr>
        <w:top w:val="none" w:sz="0" w:space="0" w:color="auto"/>
        <w:left w:val="none" w:sz="0" w:space="0" w:color="auto"/>
        <w:bottom w:val="none" w:sz="0" w:space="0" w:color="auto"/>
        <w:right w:val="none" w:sz="0" w:space="0" w:color="auto"/>
      </w:divBdr>
      <w:divsChild>
        <w:div w:id="1071730875">
          <w:marLeft w:val="547"/>
          <w:marRight w:val="0"/>
          <w:marTop w:val="154"/>
          <w:marBottom w:val="0"/>
          <w:divBdr>
            <w:top w:val="none" w:sz="0" w:space="0" w:color="auto"/>
            <w:left w:val="none" w:sz="0" w:space="0" w:color="auto"/>
            <w:bottom w:val="none" w:sz="0" w:space="0" w:color="auto"/>
            <w:right w:val="none" w:sz="0" w:space="0" w:color="auto"/>
          </w:divBdr>
        </w:div>
        <w:div w:id="2031560587">
          <w:marLeft w:val="1166"/>
          <w:marRight w:val="0"/>
          <w:marTop w:val="134"/>
          <w:marBottom w:val="0"/>
          <w:divBdr>
            <w:top w:val="none" w:sz="0" w:space="0" w:color="auto"/>
            <w:left w:val="none" w:sz="0" w:space="0" w:color="auto"/>
            <w:bottom w:val="none" w:sz="0" w:space="0" w:color="auto"/>
            <w:right w:val="none" w:sz="0" w:space="0" w:color="auto"/>
          </w:divBdr>
        </w:div>
        <w:div w:id="1652247522">
          <w:marLeft w:val="1166"/>
          <w:marRight w:val="0"/>
          <w:marTop w:val="154"/>
          <w:marBottom w:val="0"/>
          <w:divBdr>
            <w:top w:val="none" w:sz="0" w:space="0" w:color="auto"/>
            <w:left w:val="none" w:sz="0" w:space="0" w:color="auto"/>
            <w:bottom w:val="none" w:sz="0" w:space="0" w:color="auto"/>
            <w:right w:val="none" w:sz="0" w:space="0" w:color="auto"/>
          </w:divBdr>
        </w:div>
        <w:div w:id="177164934">
          <w:marLeft w:val="547"/>
          <w:marRight w:val="0"/>
          <w:marTop w:val="154"/>
          <w:marBottom w:val="0"/>
          <w:divBdr>
            <w:top w:val="none" w:sz="0" w:space="0" w:color="auto"/>
            <w:left w:val="none" w:sz="0" w:space="0" w:color="auto"/>
            <w:bottom w:val="none" w:sz="0" w:space="0" w:color="auto"/>
            <w:right w:val="none" w:sz="0" w:space="0" w:color="auto"/>
          </w:divBdr>
        </w:div>
        <w:div w:id="1164004973">
          <w:marLeft w:val="1166"/>
          <w:marRight w:val="0"/>
          <w:marTop w:val="134"/>
          <w:marBottom w:val="0"/>
          <w:divBdr>
            <w:top w:val="none" w:sz="0" w:space="0" w:color="auto"/>
            <w:left w:val="none" w:sz="0" w:space="0" w:color="auto"/>
            <w:bottom w:val="none" w:sz="0" w:space="0" w:color="auto"/>
            <w:right w:val="none" w:sz="0" w:space="0" w:color="auto"/>
          </w:divBdr>
        </w:div>
      </w:divsChild>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449269">
      <w:bodyDiv w:val="1"/>
      <w:marLeft w:val="0"/>
      <w:marRight w:val="0"/>
      <w:marTop w:val="0"/>
      <w:marBottom w:val="0"/>
      <w:divBdr>
        <w:top w:val="none" w:sz="0" w:space="0" w:color="auto"/>
        <w:left w:val="none" w:sz="0" w:space="0" w:color="auto"/>
        <w:bottom w:val="none" w:sz="0" w:space="0" w:color="auto"/>
        <w:right w:val="none" w:sz="0" w:space="0" w:color="auto"/>
      </w:divBdr>
      <w:divsChild>
        <w:div w:id="524561138">
          <w:marLeft w:val="547"/>
          <w:marRight w:val="0"/>
          <w:marTop w:val="154"/>
          <w:marBottom w:val="0"/>
          <w:divBdr>
            <w:top w:val="none" w:sz="0" w:space="0" w:color="auto"/>
            <w:left w:val="none" w:sz="0" w:space="0" w:color="auto"/>
            <w:bottom w:val="none" w:sz="0" w:space="0" w:color="auto"/>
            <w:right w:val="none" w:sz="0" w:space="0" w:color="auto"/>
          </w:divBdr>
        </w:div>
        <w:div w:id="1762212099">
          <w:marLeft w:val="1166"/>
          <w:marRight w:val="0"/>
          <w:marTop w:val="134"/>
          <w:marBottom w:val="0"/>
          <w:divBdr>
            <w:top w:val="none" w:sz="0" w:space="0" w:color="auto"/>
            <w:left w:val="none" w:sz="0" w:space="0" w:color="auto"/>
            <w:bottom w:val="none" w:sz="0" w:space="0" w:color="auto"/>
            <w:right w:val="none" w:sz="0" w:space="0" w:color="auto"/>
          </w:divBdr>
        </w:div>
        <w:div w:id="995257669">
          <w:marLeft w:val="1166"/>
          <w:marRight w:val="0"/>
          <w:marTop w:val="154"/>
          <w:marBottom w:val="0"/>
          <w:divBdr>
            <w:top w:val="none" w:sz="0" w:space="0" w:color="auto"/>
            <w:left w:val="none" w:sz="0" w:space="0" w:color="auto"/>
            <w:bottom w:val="none" w:sz="0" w:space="0" w:color="auto"/>
            <w:right w:val="none" w:sz="0" w:space="0" w:color="auto"/>
          </w:divBdr>
        </w:div>
        <w:div w:id="1659335429">
          <w:marLeft w:val="547"/>
          <w:marRight w:val="0"/>
          <w:marTop w:val="154"/>
          <w:marBottom w:val="0"/>
          <w:divBdr>
            <w:top w:val="none" w:sz="0" w:space="0" w:color="auto"/>
            <w:left w:val="none" w:sz="0" w:space="0" w:color="auto"/>
            <w:bottom w:val="none" w:sz="0" w:space="0" w:color="auto"/>
            <w:right w:val="none" w:sz="0" w:space="0" w:color="auto"/>
          </w:divBdr>
        </w:div>
        <w:div w:id="1056658440">
          <w:marLeft w:val="1166"/>
          <w:marRight w:val="0"/>
          <w:marTop w:val="134"/>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594662">
      <w:bodyDiv w:val="1"/>
      <w:marLeft w:val="0"/>
      <w:marRight w:val="0"/>
      <w:marTop w:val="0"/>
      <w:marBottom w:val="0"/>
      <w:divBdr>
        <w:top w:val="none" w:sz="0" w:space="0" w:color="auto"/>
        <w:left w:val="none" w:sz="0" w:space="0" w:color="auto"/>
        <w:bottom w:val="none" w:sz="0" w:space="0" w:color="auto"/>
        <w:right w:val="none" w:sz="0" w:space="0" w:color="auto"/>
      </w:divBdr>
      <w:divsChild>
        <w:div w:id="1978875471">
          <w:marLeft w:val="547"/>
          <w:marRight w:val="0"/>
          <w:marTop w:val="144"/>
          <w:marBottom w:val="0"/>
          <w:divBdr>
            <w:top w:val="none" w:sz="0" w:space="0" w:color="auto"/>
            <w:left w:val="none" w:sz="0" w:space="0" w:color="auto"/>
            <w:bottom w:val="none" w:sz="0" w:space="0" w:color="auto"/>
            <w:right w:val="none" w:sz="0" w:space="0" w:color="auto"/>
          </w:divBdr>
        </w:div>
        <w:div w:id="45953134">
          <w:marLeft w:val="1166"/>
          <w:marRight w:val="0"/>
          <w:marTop w:val="125"/>
          <w:marBottom w:val="0"/>
          <w:divBdr>
            <w:top w:val="none" w:sz="0" w:space="0" w:color="auto"/>
            <w:left w:val="none" w:sz="0" w:space="0" w:color="auto"/>
            <w:bottom w:val="none" w:sz="0" w:space="0" w:color="auto"/>
            <w:right w:val="none" w:sz="0" w:space="0" w:color="auto"/>
          </w:divBdr>
        </w:div>
        <w:div w:id="1548566413">
          <w:marLeft w:val="1166"/>
          <w:marRight w:val="0"/>
          <w:marTop w:val="125"/>
          <w:marBottom w:val="0"/>
          <w:divBdr>
            <w:top w:val="none" w:sz="0" w:space="0" w:color="auto"/>
            <w:left w:val="none" w:sz="0" w:space="0" w:color="auto"/>
            <w:bottom w:val="none" w:sz="0" w:space="0" w:color="auto"/>
            <w:right w:val="none" w:sz="0" w:space="0" w:color="auto"/>
          </w:divBdr>
        </w:div>
        <w:div w:id="418797566">
          <w:marLeft w:val="1166"/>
          <w:marRight w:val="0"/>
          <w:marTop w:val="125"/>
          <w:marBottom w:val="0"/>
          <w:divBdr>
            <w:top w:val="none" w:sz="0" w:space="0" w:color="auto"/>
            <w:left w:val="none" w:sz="0" w:space="0" w:color="auto"/>
            <w:bottom w:val="none" w:sz="0" w:space="0" w:color="auto"/>
            <w:right w:val="none" w:sz="0" w:space="0" w:color="auto"/>
          </w:divBdr>
        </w:div>
        <w:div w:id="516964413">
          <w:marLeft w:val="547"/>
          <w:marRight w:val="0"/>
          <w:marTop w:val="144"/>
          <w:marBottom w:val="0"/>
          <w:divBdr>
            <w:top w:val="none" w:sz="0" w:space="0" w:color="auto"/>
            <w:left w:val="none" w:sz="0" w:space="0" w:color="auto"/>
            <w:bottom w:val="none" w:sz="0" w:space="0" w:color="auto"/>
            <w:right w:val="none" w:sz="0" w:space="0" w:color="auto"/>
          </w:divBdr>
        </w:div>
        <w:div w:id="760837956">
          <w:marLeft w:val="547"/>
          <w:marRight w:val="0"/>
          <w:marTop w:val="144"/>
          <w:marBottom w:val="0"/>
          <w:divBdr>
            <w:top w:val="none" w:sz="0" w:space="0" w:color="auto"/>
            <w:left w:val="none" w:sz="0" w:space="0" w:color="auto"/>
            <w:bottom w:val="none" w:sz="0" w:space="0" w:color="auto"/>
            <w:right w:val="none" w:sz="0" w:space="0" w:color="auto"/>
          </w:divBdr>
        </w:div>
        <w:div w:id="74479083">
          <w:marLeft w:val="1166"/>
          <w:marRight w:val="0"/>
          <w:marTop w:val="12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3885075">
      <w:bodyDiv w:val="1"/>
      <w:marLeft w:val="0"/>
      <w:marRight w:val="0"/>
      <w:marTop w:val="0"/>
      <w:marBottom w:val="0"/>
      <w:divBdr>
        <w:top w:val="none" w:sz="0" w:space="0" w:color="auto"/>
        <w:left w:val="none" w:sz="0" w:space="0" w:color="auto"/>
        <w:bottom w:val="none" w:sz="0" w:space="0" w:color="auto"/>
        <w:right w:val="none" w:sz="0" w:space="0" w:color="auto"/>
      </w:divBdr>
      <w:divsChild>
        <w:div w:id="781657333">
          <w:marLeft w:val="547"/>
          <w:marRight w:val="0"/>
          <w:marTop w:val="154"/>
          <w:marBottom w:val="0"/>
          <w:divBdr>
            <w:top w:val="none" w:sz="0" w:space="0" w:color="auto"/>
            <w:left w:val="none" w:sz="0" w:space="0" w:color="auto"/>
            <w:bottom w:val="none" w:sz="0" w:space="0" w:color="auto"/>
            <w:right w:val="none" w:sz="0" w:space="0" w:color="auto"/>
          </w:divBdr>
        </w:div>
        <w:div w:id="846940732">
          <w:marLeft w:val="1166"/>
          <w:marRight w:val="0"/>
          <w:marTop w:val="134"/>
          <w:marBottom w:val="0"/>
          <w:divBdr>
            <w:top w:val="none" w:sz="0" w:space="0" w:color="auto"/>
            <w:left w:val="none" w:sz="0" w:space="0" w:color="auto"/>
            <w:bottom w:val="none" w:sz="0" w:space="0" w:color="auto"/>
            <w:right w:val="none" w:sz="0" w:space="0" w:color="auto"/>
          </w:divBdr>
        </w:div>
        <w:div w:id="1334186794">
          <w:marLeft w:val="1800"/>
          <w:marRight w:val="0"/>
          <w:marTop w:val="115"/>
          <w:marBottom w:val="0"/>
          <w:divBdr>
            <w:top w:val="none" w:sz="0" w:space="0" w:color="auto"/>
            <w:left w:val="none" w:sz="0" w:space="0" w:color="auto"/>
            <w:bottom w:val="none" w:sz="0" w:space="0" w:color="auto"/>
            <w:right w:val="none" w:sz="0" w:space="0" w:color="auto"/>
          </w:divBdr>
        </w:div>
        <w:div w:id="1331567834">
          <w:marLeft w:val="1800"/>
          <w:marRight w:val="0"/>
          <w:marTop w:val="115"/>
          <w:marBottom w:val="0"/>
          <w:divBdr>
            <w:top w:val="none" w:sz="0" w:space="0" w:color="auto"/>
            <w:left w:val="none" w:sz="0" w:space="0" w:color="auto"/>
            <w:bottom w:val="none" w:sz="0" w:space="0" w:color="auto"/>
            <w:right w:val="none" w:sz="0" w:space="0" w:color="auto"/>
          </w:divBdr>
        </w:div>
        <w:div w:id="1784033776">
          <w:marLeft w:val="1166"/>
          <w:marRight w:val="0"/>
          <w:marTop w:val="134"/>
          <w:marBottom w:val="0"/>
          <w:divBdr>
            <w:top w:val="none" w:sz="0" w:space="0" w:color="auto"/>
            <w:left w:val="none" w:sz="0" w:space="0" w:color="auto"/>
            <w:bottom w:val="none" w:sz="0" w:space="0" w:color="auto"/>
            <w:right w:val="none" w:sz="0" w:space="0" w:color="auto"/>
          </w:divBdr>
        </w:div>
        <w:div w:id="557979269">
          <w:marLeft w:val="547"/>
          <w:marRight w:val="0"/>
          <w:marTop w:val="15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31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1250</TotalTime>
  <Pages>5</Pages>
  <Words>2146</Words>
  <Characters>12238</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153</cp:revision>
  <cp:lastPrinted>2016-08-05T18:54:00Z</cp:lastPrinted>
  <dcterms:created xsi:type="dcterms:W3CDTF">2020-08-03T20:20:00Z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